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504" w:lineRule="atLeast"/>
        <w:jc w:val="center"/>
        <w:outlineLvl w:val="0"/>
        <w:rPr>
          <w:rFonts w:hint="eastAsia" w:ascii="inherit" w:hAnsi="inherit" w:eastAsia="微软雅黑" w:cs="宋体"/>
          <w:kern w:val="36"/>
          <w:sz w:val="28"/>
          <w:szCs w:val="28"/>
        </w:rPr>
      </w:pPr>
      <w:r>
        <w:rPr>
          <w:rFonts w:ascii="inherit" w:hAnsi="inherit" w:eastAsia="微软雅黑" w:cs="宋体"/>
          <w:kern w:val="36"/>
          <w:sz w:val="28"/>
          <w:szCs w:val="28"/>
        </w:rPr>
        <w:t>上海市儿童医院</w:t>
      </w:r>
      <w:r>
        <w:rPr>
          <w:rFonts w:hint="eastAsia" w:ascii="inherit" w:hAnsi="inherit" w:eastAsia="微软雅黑" w:cs="宋体"/>
          <w:kern w:val="36"/>
          <w:sz w:val="28"/>
          <w:szCs w:val="28"/>
        </w:rPr>
        <w:t>“微生物药敏试条（E试验法）等”</w:t>
      </w:r>
    </w:p>
    <w:p>
      <w:pPr>
        <w:widowControl/>
        <w:wordWrap w:val="0"/>
        <w:spacing w:line="504" w:lineRule="atLeast"/>
        <w:jc w:val="center"/>
        <w:outlineLvl w:val="0"/>
        <w:rPr>
          <w:rFonts w:hint="eastAsia" w:ascii="inherit" w:hAnsi="inherit" w:eastAsia="微软雅黑" w:cs="宋体"/>
          <w:kern w:val="36"/>
          <w:sz w:val="28"/>
          <w:szCs w:val="28"/>
          <w:lang w:eastAsia="zh-CN"/>
        </w:rPr>
      </w:pPr>
      <w:r>
        <w:rPr>
          <w:rFonts w:hint="eastAsia" w:ascii="inherit" w:hAnsi="inherit" w:eastAsia="微软雅黑" w:cs="宋体"/>
          <w:kern w:val="36"/>
          <w:sz w:val="28"/>
          <w:szCs w:val="28"/>
        </w:rPr>
        <w:t>试剂</w:t>
      </w:r>
      <w:r>
        <w:rPr>
          <w:rFonts w:ascii="inherit" w:hAnsi="inherit" w:eastAsia="微软雅黑" w:cs="宋体"/>
          <w:kern w:val="36"/>
          <w:sz w:val="28"/>
          <w:szCs w:val="28"/>
        </w:rPr>
        <w:t>供应商遴选</w:t>
      </w:r>
      <w:r>
        <w:rPr>
          <w:rFonts w:hint="eastAsia" w:ascii="inherit" w:hAnsi="inherit" w:eastAsia="微软雅黑" w:cs="宋体"/>
          <w:kern w:val="36"/>
          <w:sz w:val="28"/>
          <w:szCs w:val="28"/>
        </w:rPr>
        <w:t>文件</w:t>
      </w:r>
      <w:r>
        <w:rPr>
          <w:rFonts w:hint="eastAsia" w:ascii="inherit" w:hAnsi="inherit" w:eastAsia="微软雅黑" w:cs="宋体"/>
          <w:kern w:val="36"/>
          <w:sz w:val="28"/>
          <w:szCs w:val="28"/>
          <w:lang w:eastAsia="zh-CN"/>
        </w:rPr>
        <w:t>（</w:t>
      </w:r>
      <w:r>
        <w:rPr>
          <w:rFonts w:hint="eastAsia" w:ascii="inherit" w:hAnsi="inherit" w:eastAsia="微软雅黑" w:cs="宋体"/>
          <w:kern w:val="36"/>
          <w:sz w:val="28"/>
          <w:szCs w:val="28"/>
          <w:lang w:val="en-US" w:eastAsia="zh-CN"/>
        </w:rPr>
        <w:t>第二次</w:t>
      </w:r>
      <w:r>
        <w:rPr>
          <w:rFonts w:hint="eastAsia" w:ascii="inherit" w:hAnsi="inherit" w:eastAsia="微软雅黑" w:cs="宋体"/>
          <w:kern w:val="36"/>
          <w:sz w:val="28"/>
          <w:szCs w:val="28"/>
          <w:lang w:eastAsia="zh-CN"/>
        </w:rPr>
        <w:t>）</w:t>
      </w:r>
    </w:p>
    <w:p>
      <w:pPr>
        <w:widowControl/>
        <w:spacing w:line="504" w:lineRule="atLeast"/>
        <w:jc w:val="center"/>
        <w:outlineLvl w:val="0"/>
        <w:rPr>
          <w:rFonts w:hint="eastAsia" w:ascii="inherit" w:hAnsi="inherit" w:eastAsia="微软雅黑" w:cs="宋体"/>
          <w:kern w:val="36"/>
          <w:sz w:val="28"/>
          <w:szCs w:val="28"/>
        </w:rPr>
      </w:pPr>
      <w:r>
        <w:rPr>
          <w:rFonts w:hint="eastAsia" w:ascii="inherit" w:hAnsi="inherit" w:eastAsia="微软雅黑" w:cs="宋体"/>
          <w:kern w:val="36"/>
          <w:sz w:val="28"/>
          <w:szCs w:val="28"/>
        </w:rPr>
        <w:t>遴选编号：2021-ETLXSJ-004</w:t>
      </w:r>
    </w:p>
    <w:p>
      <w:pPr>
        <w:widowControl/>
        <w:spacing w:before="168" w:after="168"/>
        <w:ind w:firstLine="480" w:firstLineChars="200"/>
        <w:jc w:val="left"/>
        <w:rPr>
          <w:rFonts w:ascii="宋体" w:hAnsi="宋体" w:eastAsia="宋体" w:cs="宋体"/>
          <w:kern w:val="0"/>
          <w:sz w:val="24"/>
          <w:szCs w:val="24"/>
        </w:rPr>
      </w:pPr>
      <w:r>
        <w:rPr>
          <w:rFonts w:ascii="宋体" w:hAnsi="宋体" w:eastAsia="宋体" w:cs="宋体"/>
          <w:color w:val="000000"/>
          <w:kern w:val="0"/>
          <w:sz w:val="24"/>
          <w:szCs w:val="24"/>
        </w:rPr>
        <w:t>上海市儿童医院</w:t>
      </w:r>
      <w:r>
        <w:rPr>
          <w:rFonts w:hint="eastAsia" w:ascii="宋体" w:hAnsi="宋体" w:eastAsia="宋体" w:cs="宋体"/>
          <w:color w:val="000000"/>
          <w:kern w:val="0"/>
          <w:sz w:val="24"/>
          <w:szCs w:val="24"/>
        </w:rPr>
        <w:t>“微生物药敏试条（E试验法）等”试剂公开征询供应商，欢迎</w:t>
      </w:r>
      <w:r>
        <w:rPr>
          <w:rFonts w:hint="eastAsia" w:ascii="宋体" w:hAnsi="宋体" w:eastAsia="宋体" w:cs="宋体"/>
          <w:kern w:val="0"/>
          <w:sz w:val="24"/>
          <w:szCs w:val="24"/>
        </w:rPr>
        <w:t>合格供应商前来参加遴选。届时我们将选出合适的产品供应商作为新供应商进行日常采购。</w:t>
      </w:r>
    </w:p>
    <w:p>
      <w:pPr>
        <w:widowControl/>
        <w:wordWrap w:val="0"/>
        <w:spacing w:line="193"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一、适用情况：用于临床、检验、病理、筛查等医用试剂。</w:t>
      </w:r>
    </w:p>
    <w:p>
      <w:pPr>
        <w:widowControl/>
        <w:wordWrap w:val="0"/>
        <w:spacing w:line="193"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二、项目名称：微生物药敏试条（E试验法）等</w:t>
      </w:r>
    </w:p>
    <w:p>
      <w:pPr>
        <w:widowControl/>
        <w:wordWrap w:val="0"/>
        <w:spacing w:line="193" w:lineRule="atLeast"/>
        <w:rPr>
          <w:rFonts w:hint="eastAsia" w:ascii="宋体" w:hAnsi="宋体" w:eastAsia="宋体" w:cs="宋体"/>
          <w:kern w:val="0"/>
          <w:sz w:val="24"/>
          <w:szCs w:val="24"/>
        </w:rPr>
      </w:pPr>
      <w:r>
        <w:rPr>
          <w:rFonts w:hint="eastAsia" w:ascii="宋体" w:hAnsi="宋体" w:eastAsia="宋体" w:cs="宋体"/>
          <w:kern w:val="0"/>
          <w:sz w:val="24"/>
          <w:szCs w:val="24"/>
        </w:rPr>
        <w:t>三、技术要求：</w:t>
      </w:r>
    </w:p>
    <w:p>
      <w:pPr>
        <w:widowControl/>
        <w:wordWrap w:val="0"/>
        <w:spacing w:line="193" w:lineRule="atLeast"/>
        <w:rPr>
          <w:rFonts w:ascii="宋体" w:hAnsi="宋体" w:eastAsia="宋体" w:cs="宋体"/>
          <w:kern w:val="0"/>
          <w:sz w:val="24"/>
          <w:szCs w:val="24"/>
        </w:rPr>
      </w:pPr>
      <w:r>
        <w:rPr>
          <w:rFonts w:hint="eastAsia" w:ascii="宋体" w:hAnsi="宋体" w:eastAsia="宋体" w:cs="宋体"/>
          <w:kern w:val="0"/>
          <w:sz w:val="24"/>
          <w:szCs w:val="24"/>
          <w:lang w:val="en-US" w:eastAsia="zh-CN"/>
        </w:rPr>
        <w:t>第1包：</w:t>
      </w:r>
      <w:r>
        <w:rPr>
          <w:rFonts w:hint="eastAsia" w:ascii="宋体" w:hAnsi="宋体" w:eastAsia="宋体" w:cs="宋体"/>
          <w:kern w:val="0"/>
          <w:sz w:val="24"/>
          <w:szCs w:val="24"/>
        </w:rPr>
        <w:t>微生物药敏试条（E试验法）</w:t>
      </w:r>
    </w:p>
    <w:tbl>
      <w:tblPr>
        <w:tblStyle w:val="2"/>
        <w:tblW w:w="83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43" w:type="dxa"/>
            <w:tcBorders>
              <w:bottom w:val="single" w:color="auto" w:sz="4" w:space="0"/>
            </w:tcBorders>
            <w:shd w:val="clear" w:color="auto" w:fill="auto"/>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项目名称</w:t>
            </w:r>
          </w:p>
        </w:tc>
        <w:tc>
          <w:tcPr>
            <w:tcW w:w="6468" w:type="dxa"/>
            <w:tcBorders>
              <w:bottom w:val="single" w:color="auto" w:sz="4" w:space="0"/>
            </w:tcBorders>
            <w:shd w:val="clear" w:color="auto" w:fill="auto"/>
            <w:noWrap/>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项目使用要求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843" w:type="dxa"/>
            <w:shd w:val="clear" w:color="000000" w:fill="auto"/>
            <w:noWrap/>
            <w:vAlign w:val="center"/>
          </w:tcPr>
          <w:p>
            <w:pPr>
              <w:widowControl/>
              <w:wordWrap w:val="0"/>
              <w:spacing w:line="193" w:lineRule="atLeas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微生物药敏试条（E试验法）</w:t>
            </w:r>
          </w:p>
          <w:p>
            <w:pPr>
              <w:rPr>
                <w:rFonts w:hint="eastAsia" w:asciiTheme="majorEastAsia" w:hAnsiTheme="majorEastAsia" w:eastAsiaTheme="majorEastAsia" w:cstheme="majorEastAsia"/>
                <w:sz w:val="21"/>
                <w:szCs w:val="21"/>
              </w:rPr>
            </w:pPr>
          </w:p>
        </w:tc>
        <w:tc>
          <w:tcPr>
            <w:tcW w:w="6468" w:type="dxa"/>
            <w:shd w:val="clear" w:color="000000" w:fill="auto"/>
            <w:noWrap/>
            <w:vAlign w:val="center"/>
          </w:tcPr>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①检测方法：微生物药敏试条（E试验法）。</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②预期用途：用于体外定量测定感染细菌药敏最小抑菌浓度（MIC），为抗感染治疗提供药敏依据。</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③检测性能：细菌体外药敏试验是检验科微生物室常规开展的方法，有助于监测细菌耐药性和临床医生选择合适的药物。现有部分细菌的抗菌药物尚无纸片法判断标准，需采用最小抑菌浓度（MIC）方法进行精准分析，常用的MIC法有E试条法，其操作较为简便，MIC浓度范围广，能便于微生物室常规开展。</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④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除外)</w:t>
            </w:r>
          </w:p>
          <w:p>
            <w:pPr>
              <w:spacing w:line="360" w:lineRule="auto"/>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rPr>
              <w:t>⑤适配仪器：暂不需要特殊仪器设备。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311" w:type="dxa"/>
            <w:gridSpan w:val="2"/>
            <w:shd w:val="clear" w:color="000000" w:fill="auto"/>
            <w:noWrap/>
            <w:vAlign w:val="center"/>
          </w:tcPr>
          <w:p>
            <w:pPr>
              <w:rPr>
                <w:rFonts w:hint="eastAsia" w:asciiTheme="majorEastAsia" w:hAnsiTheme="majorEastAsia" w:eastAsiaTheme="majorEastAsia" w:cstheme="majorEastAsia"/>
                <w:kern w:val="0"/>
                <w:sz w:val="21"/>
                <w:szCs w:val="21"/>
                <w:lang w:eastAsia="zh-CN"/>
              </w:rPr>
            </w:pPr>
            <w:r>
              <w:rPr>
                <w:rFonts w:hint="eastAsia" w:asciiTheme="majorEastAsia" w:hAnsiTheme="majorEastAsia" w:eastAsiaTheme="majorEastAsia" w:cstheme="majorEastAsia"/>
                <w:sz w:val="21"/>
                <w:szCs w:val="21"/>
              </w:rPr>
              <w:t>备注：</w:t>
            </w:r>
            <w:r>
              <w:rPr>
                <w:rFonts w:hint="eastAsia" w:asciiTheme="majorEastAsia" w:hAnsiTheme="majorEastAsia" w:eastAsiaTheme="majorEastAsia" w:cstheme="majorEastAsia"/>
                <w:kern w:val="0"/>
                <w:sz w:val="21"/>
                <w:szCs w:val="21"/>
              </w:rPr>
              <w:t>预估年使用量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检测人份</w:t>
            </w:r>
            <w:r>
              <w:rPr>
                <w:rFonts w:hint="eastAsia" w:ascii="宋体" w:hAnsi="宋体" w:eastAsia="宋体" w:cs="宋体"/>
                <w:sz w:val="21"/>
                <w:szCs w:val="21"/>
                <w:lang w:eastAsia="zh-CN"/>
              </w:rPr>
              <w:t>）</w:t>
            </w:r>
          </w:p>
          <w:p>
            <w:pPr>
              <w:jc w:val="left"/>
              <w:rPr>
                <w:rFonts w:hint="default" w:ascii="宋体" w:hAnsi="宋体" w:eastAsia="宋体" w:cs="宋体"/>
                <w:color w:val="000000"/>
                <w:kern w:val="0"/>
                <w:sz w:val="16"/>
                <w:szCs w:val="20"/>
                <w:lang w:val="en-US" w:eastAsia="zh-CN"/>
              </w:rPr>
            </w:pPr>
            <w:r>
              <w:rPr>
                <w:rFonts w:hint="eastAsia" w:ascii="宋体" w:hAnsi="宋体" w:eastAsia="宋体" w:cs="宋体"/>
                <w:color w:val="000000"/>
                <w:kern w:val="0"/>
                <w:sz w:val="16"/>
                <w:szCs w:val="20"/>
                <w:lang w:val="en-US" w:eastAsia="zh-CN"/>
              </w:rPr>
              <w:t>1.</w:t>
            </w:r>
            <w:r>
              <w:rPr>
                <w:rFonts w:hint="eastAsia" w:ascii="宋体" w:hAnsi="宋体" w:eastAsia="宋体" w:cs="宋体"/>
                <w:color w:val="000000"/>
                <w:kern w:val="0"/>
                <w:sz w:val="16"/>
                <w:szCs w:val="20"/>
              </w:rPr>
              <w:t>头孢噻肟</w:t>
            </w:r>
            <w:r>
              <w:rPr>
                <w:rFonts w:hint="eastAsia" w:ascii="宋体" w:hAnsi="宋体" w:eastAsia="宋体" w:cs="宋体"/>
                <w:color w:val="000000"/>
                <w:kern w:val="0"/>
                <w:sz w:val="16"/>
                <w:szCs w:val="20"/>
                <w:lang w:eastAsia="zh-CN"/>
              </w:rPr>
              <w:t>：</w:t>
            </w:r>
            <w:r>
              <w:rPr>
                <w:rFonts w:hint="eastAsia" w:ascii="宋体" w:hAnsi="宋体" w:eastAsia="宋体" w:cs="宋体"/>
                <w:color w:val="000000"/>
                <w:kern w:val="0"/>
                <w:sz w:val="16"/>
                <w:szCs w:val="20"/>
                <w:lang w:val="en-US" w:eastAsia="zh-CN"/>
              </w:rPr>
              <w:t>100               2.</w:t>
            </w:r>
            <w:r>
              <w:rPr>
                <w:rFonts w:hint="eastAsia" w:ascii="宋体" w:hAnsi="宋体" w:eastAsia="宋体" w:cs="宋体"/>
                <w:color w:val="000000"/>
                <w:kern w:val="0"/>
                <w:sz w:val="16"/>
                <w:szCs w:val="20"/>
              </w:rPr>
              <w:t>孢曲松</w:t>
            </w:r>
            <w:r>
              <w:rPr>
                <w:rFonts w:hint="eastAsia" w:ascii="宋体" w:hAnsi="宋体" w:eastAsia="宋体" w:cs="宋体"/>
                <w:color w:val="000000"/>
                <w:kern w:val="0"/>
                <w:sz w:val="16"/>
                <w:szCs w:val="20"/>
                <w:lang w:eastAsia="zh-CN"/>
              </w:rPr>
              <w:t>：</w:t>
            </w:r>
            <w:r>
              <w:rPr>
                <w:rFonts w:hint="eastAsia" w:ascii="宋体" w:hAnsi="宋体" w:eastAsia="宋体" w:cs="宋体"/>
                <w:color w:val="000000"/>
                <w:kern w:val="0"/>
                <w:sz w:val="16"/>
                <w:szCs w:val="20"/>
                <w:lang w:val="en-US" w:eastAsia="zh-CN"/>
              </w:rPr>
              <w:t>50             3.</w:t>
            </w:r>
            <w:r>
              <w:rPr>
                <w:rFonts w:hint="eastAsia" w:ascii="宋体" w:hAnsi="宋体" w:eastAsia="宋体" w:cs="宋体"/>
                <w:color w:val="000000"/>
                <w:kern w:val="0"/>
                <w:sz w:val="16"/>
                <w:szCs w:val="20"/>
              </w:rPr>
              <w:t>头孢他啶</w:t>
            </w:r>
            <w:r>
              <w:rPr>
                <w:rFonts w:hint="eastAsia" w:ascii="宋体" w:hAnsi="宋体" w:eastAsia="宋体" w:cs="宋体"/>
                <w:color w:val="000000"/>
                <w:kern w:val="0"/>
                <w:sz w:val="16"/>
                <w:szCs w:val="20"/>
                <w:lang w:eastAsia="zh-CN"/>
              </w:rPr>
              <w:t>：</w:t>
            </w:r>
            <w:r>
              <w:rPr>
                <w:rFonts w:hint="eastAsia" w:ascii="宋体" w:hAnsi="宋体" w:eastAsia="宋体" w:cs="宋体"/>
                <w:color w:val="000000"/>
                <w:kern w:val="0"/>
                <w:sz w:val="16"/>
                <w:szCs w:val="20"/>
                <w:lang w:val="en-US" w:eastAsia="zh-CN"/>
              </w:rPr>
              <w:t>100        4.</w:t>
            </w:r>
            <w:r>
              <w:rPr>
                <w:rFonts w:hint="eastAsia" w:ascii="宋体" w:hAnsi="宋体" w:eastAsia="宋体" w:cs="宋体"/>
                <w:color w:val="000000"/>
                <w:kern w:val="0"/>
                <w:sz w:val="16"/>
                <w:szCs w:val="20"/>
              </w:rPr>
              <w:t>左氧氟沙星</w:t>
            </w:r>
            <w:r>
              <w:rPr>
                <w:rFonts w:hint="eastAsia" w:ascii="宋体" w:hAnsi="宋体" w:eastAsia="宋体" w:cs="宋体"/>
                <w:color w:val="000000"/>
                <w:kern w:val="0"/>
                <w:sz w:val="16"/>
                <w:szCs w:val="20"/>
                <w:lang w:eastAsia="zh-CN"/>
              </w:rPr>
              <w:t>：</w:t>
            </w:r>
            <w:r>
              <w:rPr>
                <w:rFonts w:hint="eastAsia" w:ascii="宋体" w:hAnsi="宋体" w:eastAsia="宋体" w:cs="宋体"/>
                <w:color w:val="000000"/>
                <w:kern w:val="0"/>
                <w:sz w:val="16"/>
                <w:szCs w:val="20"/>
                <w:lang w:val="en-US" w:eastAsia="zh-CN"/>
              </w:rPr>
              <w:t>200</w:t>
            </w:r>
          </w:p>
          <w:p>
            <w:pPr>
              <w:rPr>
                <w:rFonts w:hint="default" w:ascii="宋体" w:hAnsi="宋体" w:eastAsia="宋体" w:cs="宋体"/>
                <w:color w:val="000000"/>
                <w:kern w:val="0"/>
                <w:sz w:val="16"/>
                <w:szCs w:val="20"/>
                <w:lang w:val="en-US" w:eastAsia="zh-CN"/>
              </w:rPr>
            </w:pPr>
            <w:r>
              <w:rPr>
                <w:rFonts w:hint="eastAsia" w:ascii="宋体" w:hAnsi="宋体" w:eastAsia="宋体" w:cs="宋体"/>
                <w:color w:val="000000"/>
                <w:kern w:val="0"/>
                <w:sz w:val="16"/>
                <w:szCs w:val="20"/>
                <w:lang w:val="en-US" w:eastAsia="zh-CN"/>
              </w:rPr>
              <w:t>5.</w:t>
            </w:r>
            <w:r>
              <w:rPr>
                <w:rFonts w:hint="eastAsia" w:ascii="宋体" w:hAnsi="宋体" w:eastAsia="宋体" w:cs="宋体"/>
                <w:color w:val="000000"/>
                <w:kern w:val="0"/>
                <w:sz w:val="16"/>
                <w:szCs w:val="20"/>
              </w:rPr>
              <w:t>克拉霉素</w:t>
            </w:r>
            <w:r>
              <w:rPr>
                <w:rFonts w:hint="eastAsia" w:ascii="宋体" w:hAnsi="宋体" w:eastAsia="宋体" w:cs="宋体"/>
                <w:color w:val="000000"/>
                <w:kern w:val="0"/>
                <w:sz w:val="16"/>
                <w:szCs w:val="20"/>
                <w:lang w:eastAsia="zh-CN"/>
              </w:rPr>
              <w:t>：</w:t>
            </w:r>
            <w:r>
              <w:rPr>
                <w:rFonts w:hint="eastAsia" w:ascii="宋体" w:hAnsi="宋体" w:eastAsia="宋体" w:cs="宋体"/>
                <w:color w:val="000000"/>
                <w:kern w:val="0"/>
                <w:sz w:val="16"/>
                <w:szCs w:val="20"/>
                <w:lang w:val="en-US" w:eastAsia="zh-CN"/>
              </w:rPr>
              <w:t>50                6.</w:t>
            </w:r>
            <w:r>
              <w:rPr>
                <w:rFonts w:hint="eastAsia" w:ascii="宋体" w:hAnsi="宋体" w:eastAsia="宋体" w:cs="宋体"/>
                <w:color w:val="000000"/>
                <w:kern w:val="0"/>
                <w:sz w:val="16"/>
                <w:szCs w:val="20"/>
              </w:rPr>
              <w:t>万古霉素</w:t>
            </w:r>
            <w:r>
              <w:rPr>
                <w:rFonts w:hint="eastAsia" w:ascii="宋体" w:hAnsi="宋体" w:eastAsia="宋体" w:cs="宋体"/>
                <w:color w:val="000000"/>
                <w:kern w:val="0"/>
                <w:sz w:val="16"/>
                <w:szCs w:val="20"/>
                <w:lang w:eastAsia="zh-CN"/>
              </w:rPr>
              <w:t>：</w:t>
            </w:r>
            <w:r>
              <w:rPr>
                <w:rFonts w:hint="eastAsia" w:ascii="宋体" w:hAnsi="宋体" w:eastAsia="宋体" w:cs="宋体"/>
                <w:color w:val="000000"/>
                <w:kern w:val="0"/>
                <w:sz w:val="16"/>
                <w:szCs w:val="20"/>
                <w:lang w:val="en-US" w:eastAsia="zh-CN"/>
              </w:rPr>
              <w:t>80           7.</w:t>
            </w:r>
            <w:r>
              <w:rPr>
                <w:rFonts w:hint="eastAsia" w:ascii="宋体" w:hAnsi="宋体" w:eastAsia="宋体" w:cs="宋体"/>
                <w:color w:val="000000"/>
                <w:kern w:val="0"/>
                <w:sz w:val="16"/>
                <w:szCs w:val="20"/>
              </w:rPr>
              <w:t>氯霉素</w:t>
            </w:r>
            <w:r>
              <w:rPr>
                <w:rFonts w:hint="eastAsia" w:ascii="宋体" w:hAnsi="宋体" w:eastAsia="宋体" w:cs="宋体"/>
                <w:color w:val="000000"/>
                <w:kern w:val="0"/>
                <w:sz w:val="16"/>
                <w:szCs w:val="20"/>
                <w:lang w:eastAsia="zh-CN"/>
              </w:rPr>
              <w:t>：</w:t>
            </w:r>
            <w:r>
              <w:rPr>
                <w:rFonts w:hint="eastAsia" w:ascii="宋体" w:hAnsi="宋体" w:eastAsia="宋体" w:cs="宋体"/>
                <w:color w:val="000000"/>
                <w:kern w:val="0"/>
                <w:sz w:val="16"/>
                <w:szCs w:val="20"/>
                <w:lang w:val="en-US" w:eastAsia="zh-CN"/>
              </w:rPr>
              <w:t>50           8.</w:t>
            </w:r>
            <w:r>
              <w:rPr>
                <w:rFonts w:hint="eastAsia" w:ascii="宋体" w:hAnsi="宋体" w:eastAsia="宋体" w:cs="宋体"/>
                <w:color w:val="000000"/>
                <w:kern w:val="0"/>
                <w:sz w:val="16"/>
                <w:szCs w:val="20"/>
              </w:rPr>
              <w:t>四环素</w:t>
            </w:r>
            <w:r>
              <w:rPr>
                <w:rFonts w:hint="eastAsia" w:ascii="宋体" w:hAnsi="宋体" w:eastAsia="宋体" w:cs="宋体"/>
                <w:color w:val="000000"/>
                <w:kern w:val="0"/>
                <w:sz w:val="16"/>
                <w:szCs w:val="20"/>
                <w:lang w:eastAsia="zh-CN"/>
              </w:rPr>
              <w:t>：</w:t>
            </w:r>
            <w:r>
              <w:rPr>
                <w:rFonts w:hint="eastAsia" w:ascii="宋体" w:hAnsi="宋体" w:eastAsia="宋体" w:cs="宋体"/>
                <w:color w:val="000000"/>
                <w:kern w:val="0"/>
                <w:sz w:val="16"/>
                <w:szCs w:val="20"/>
                <w:lang w:val="en-US" w:eastAsia="zh-CN"/>
              </w:rPr>
              <w:t>50</w:t>
            </w:r>
          </w:p>
          <w:p>
            <w:pPr>
              <w:rPr>
                <w:rFonts w:hint="default" w:ascii="宋体" w:hAnsi="宋体" w:eastAsia="宋体" w:cs="宋体"/>
                <w:color w:val="000000"/>
                <w:kern w:val="0"/>
                <w:sz w:val="16"/>
                <w:szCs w:val="20"/>
                <w:lang w:val="en-US" w:eastAsia="zh-CN"/>
              </w:rPr>
            </w:pPr>
            <w:r>
              <w:rPr>
                <w:rFonts w:hint="eastAsia" w:ascii="宋体" w:hAnsi="宋体" w:eastAsia="宋体" w:cs="宋体"/>
                <w:color w:val="000000"/>
                <w:kern w:val="0"/>
                <w:sz w:val="16"/>
                <w:szCs w:val="20"/>
                <w:lang w:val="en-US" w:eastAsia="zh-CN"/>
              </w:rPr>
              <w:t>9.</w:t>
            </w:r>
            <w:r>
              <w:rPr>
                <w:rFonts w:hint="eastAsia" w:ascii="宋体" w:hAnsi="宋体" w:eastAsia="宋体" w:cs="宋体"/>
                <w:color w:val="000000"/>
                <w:kern w:val="0"/>
                <w:sz w:val="16"/>
                <w:szCs w:val="20"/>
              </w:rPr>
              <w:t>利福平</w:t>
            </w:r>
            <w:r>
              <w:rPr>
                <w:rFonts w:hint="eastAsia" w:ascii="宋体" w:hAnsi="宋体" w:eastAsia="宋体" w:cs="宋体"/>
                <w:color w:val="000000"/>
                <w:kern w:val="0"/>
                <w:sz w:val="16"/>
                <w:szCs w:val="20"/>
                <w:lang w:eastAsia="zh-CN"/>
              </w:rPr>
              <w:t>：</w:t>
            </w:r>
            <w:r>
              <w:rPr>
                <w:rFonts w:hint="eastAsia" w:ascii="宋体" w:hAnsi="宋体" w:eastAsia="宋体" w:cs="宋体"/>
                <w:color w:val="000000"/>
                <w:kern w:val="0"/>
                <w:sz w:val="16"/>
                <w:szCs w:val="20"/>
                <w:lang w:val="en-US" w:eastAsia="zh-CN"/>
              </w:rPr>
              <w:t>100                 10.</w:t>
            </w:r>
            <w:r>
              <w:rPr>
                <w:rFonts w:hint="eastAsia" w:ascii="宋体" w:hAnsi="宋体" w:eastAsia="宋体" w:cs="宋体"/>
                <w:color w:val="000000"/>
                <w:kern w:val="0"/>
                <w:sz w:val="16"/>
                <w:szCs w:val="20"/>
              </w:rPr>
              <w:t>阿莫西林</w:t>
            </w:r>
            <w:r>
              <w:rPr>
                <w:rFonts w:ascii="Arial" w:hAnsi="Arial" w:eastAsia="宋体" w:cs="Arial"/>
                <w:color w:val="000000"/>
                <w:kern w:val="0"/>
                <w:sz w:val="16"/>
                <w:szCs w:val="20"/>
              </w:rPr>
              <w:t>/</w:t>
            </w:r>
            <w:r>
              <w:rPr>
                <w:rFonts w:hint="eastAsia" w:ascii="黑体" w:hAnsi="黑体" w:eastAsia="黑体" w:cs="宋体"/>
                <w:color w:val="000000"/>
                <w:kern w:val="0"/>
                <w:sz w:val="16"/>
                <w:szCs w:val="20"/>
              </w:rPr>
              <w:t>棒酸</w:t>
            </w:r>
            <w:r>
              <w:rPr>
                <w:rFonts w:hint="eastAsia" w:ascii="黑体" w:hAnsi="黑体" w:eastAsia="黑体" w:cs="宋体"/>
                <w:color w:val="000000"/>
                <w:kern w:val="0"/>
                <w:sz w:val="16"/>
                <w:szCs w:val="20"/>
                <w:lang w:eastAsia="zh-CN"/>
              </w:rPr>
              <w:t>：</w:t>
            </w:r>
            <w:r>
              <w:rPr>
                <w:rFonts w:hint="eastAsia" w:ascii="黑体" w:hAnsi="黑体" w:eastAsia="黑体" w:cs="宋体"/>
                <w:color w:val="000000"/>
                <w:kern w:val="0"/>
                <w:sz w:val="16"/>
                <w:szCs w:val="20"/>
                <w:lang w:val="en-US" w:eastAsia="zh-CN"/>
              </w:rPr>
              <w:t xml:space="preserve">300    </w:t>
            </w:r>
            <w:r>
              <w:rPr>
                <w:rFonts w:hint="eastAsia" w:ascii="宋体" w:hAnsi="宋体" w:eastAsia="宋体" w:cs="宋体"/>
                <w:color w:val="000000"/>
                <w:kern w:val="0"/>
                <w:sz w:val="16"/>
                <w:szCs w:val="20"/>
                <w:lang w:val="en-US" w:eastAsia="zh-CN"/>
              </w:rPr>
              <w:t>11.</w:t>
            </w:r>
            <w:r>
              <w:rPr>
                <w:rFonts w:hint="eastAsia" w:ascii="宋体" w:hAnsi="宋体" w:eastAsia="宋体" w:cs="宋体"/>
                <w:color w:val="000000"/>
                <w:kern w:val="0"/>
                <w:sz w:val="16"/>
                <w:szCs w:val="20"/>
              </w:rPr>
              <w:t>美罗培南</w:t>
            </w:r>
            <w:r>
              <w:rPr>
                <w:rFonts w:hint="eastAsia" w:ascii="宋体" w:hAnsi="宋体" w:eastAsia="宋体" w:cs="宋体"/>
                <w:color w:val="000000"/>
                <w:kern w:val="0"/>
                <w:sz w:val="16"/>
                <w:szCs w:val="20"/>
                <w:lang w:val="en-US" w:eastAsia="zh-CN"/>
              </w:rPr>
              <w:t>:100        12.</w:t>
            </w:r>
            <w:r>
              <w:rPr>
                <w:rFonts w:hint="eastAsia" w:ascii="宋体" w:hAnsi="宋体" w:eastAsia="宋体" w:cs="宋体"/>
                <w:color w:val="000000"/>
                <w:kern w:val="0"/>
                <w:sz w:val="16"/>
                <w:szCs w:val="20"/>
              </w:rPr>
              <w:t>替考拉宁</w:t>
            </w:r>
            <w:r>
              <w:rPr>
                <w:rFonts w:hint="eastAsia" w:ascii="宋体" w:hAnsi="宋体" w:eastAsia="宋体" w:cs="宋体"/>
                <w:color w:val="000000"/>
                <w:kern w:val="0"/>
                <w:sz w:val="16"/>
                <w:szCs w:val="20"/>
                <w:lang w:eastAsia="zh-CN"/>
              </w:rPr>
              <w:t>：</w:t>
            </w:r>
            <w:r>
              <w:rPr>
                <w:rFonts w:hint="eastAsia" w:ascii="宋体" w:hAnsi="宋体" w:eastAsia="宋体" w:cs="宋体"/>
                <w:color w:val="000000"/>
                <w:kern w:val="0"/>
                <w:sz w:val="16"/>
                <w:szCs w:val="20"/>
                <w:lang w:val="en-US" w:eastAsia="zh-CN"/>
              </w:rPr>
              <w:t>100</w:t>
            </w:r>
          </w:p>
          <w:p>
            <w:pPr>
              <w:rPr>
                <w:rFonts w:hint="default" w:asciiTheme="majorEastAsia" w:hAnsiTheme="majorEastAsia" w:eastAsiaTheme="minorEastAsia" w:cstheme="majorEastAsia"/>
                <w:sz w:val="21"/>
                <w:szCs w:val="21"/>
                <w:lang w:val="en-US" w:eastAsia="zh-CN"/>
              </w:rPr>
            </w:pPr>
            <w:r>
              <w:rPr>
                <w:rFonts w:hint="eastAsia" w:ascii="宋体" w:hAnsi="宋体" w:eastAsia="宋体" w:cs="宋体"/>
                <w:color w:val="000000"/>
                <w:kern w:val="0"/>
                <w:sz w:val="16"/>
                <w:szCs w:val="20"/>
                <w:lang w:val="en-US" w:eastAsia="zh-CN"/>
              </w:rPr>
              <w:t>13.</w:t>
            </w:r>
            <w:r>
              <w:rPr>
                <w:rFonts w:hint="eastAsia" w:ascii="宋体" w:hAnsi="宋体" w:eastAsia="宋体" w:cs="宋体"/>
                <w:color w:val="000000"/>
                <w:kern w:val="0"/>
                <w:sz w:val="16"/>
                <w:szCs w:val="20"/>
              </w:rPr>
              <w:t>青霉素</w:t>
            </w:r>
            <w:r>
              <w:rPr>
                <w:rFonts w:hint="eastAsia" w:ascii="宋体" w:hAnsi="宋体" w:eastAsia="宋体" w:cs="宋体"/>
                <w:color w:val="000000"/>
                <w:kern w:val="0"/>
                <w:sz w:val="16"/>
                <w:szCs w:val="20"/>
                <w:lang w:val="en-US" w:eastAsia="zh-CN"/>
              </w:rPr>
              <w:t>:300                 14.</w:t>
            </w:r>
            <w:r>
              <w:rPr>
                <w:rFonts w:hint="eastAsia" w:ascii="宋体" w:hAnsi="宋体" w:eastAsia="宋体" w:cs="宋体"/>
                <w:color w:val="000000"/>
                <w:kern w:val="0"/>
                <w:sz w:val="16"/>
                <w:szCs w:val="20"/>
              </w:rPr>
              <w:t>替加环素</w:t>
            </w:r>
            <w:r>
              <w:rPr>
                <w:rFonts w:hint="eastAsia" w:ascii="宋体" w:hAnsi="宋体" w:eastAsia="宋体" w:cs="宋体"/>
                <w:color w:val="000000"/>
                <w:kern w:val="0"/>
                <w:sz w:val="16"/>
                <w:szCs w:val="20"/>
                <w:lang w:eastAsia="zh-CN"/>
              </w:rPr>
              <w:t>：</w:t>
            </w:r>
            <w:r>
              <w:rPr>
                <w:rFonts w:hint="eastAsia" w:ascii="宋体" w:hAnsi="宋体" w:eastAsia="宋体" w:cs="宋体"/>
                <w:color w:val="000000"/>
                <w:kern w:val="0"/>
                <w:sz w:val="16"/>
                <w:szCs w:val="20"/>
                <w:lang w:val="en-US" w:eastAsia="zh-CN"/>
              </w:rPr>
              <w:t xml:space="preserve">100         </w:t>
            </w:r>
            <w:r>
              <w:rPr>
                <w:rFonts w:hint="eastAsia"/>
                <w:color w:val="000000"/>
                <w:sz w:val="16"/>
                <w:szCs w:val="20"/>
                <w:lang w:val="en-US" w:eastAsia="zh-CN"/>
              </w:rPr>
              <w:t>15.</w:t>
            </w:r>
            <w:r>
              <w:rPr>
                <w:rFonts w:hint="eastAsia"/>
                <w:color w:val="000000"/>
                <w:sz w:val="16"/>
                <w:szCs w:val="20"/>
              </w:rPr>
              <w:t>利奈唑胺</w:t>
            </w:r>
            <w:r>
              <w:rPr>
                <w:rFonts w:hint="eastAsia"/>
                <w:color w:val="000000"/>
                <w:sz w:val="16"/>
                <w:szCs w:val="20"/>
                <w:lang w:eastAsia="zh-CN"/>
              </w:rPr>
              <w:t>：</w:t>
            </w:r>
            <w:r>
              <w:rPr>
                <w:rFonts w:hint="eastAsia"/>
                <w:color w:val="000000"/>
                <w:sz w:val="16"/>
                <w:szCs w:val="20"/>
                <w:lang w:val="en-US" w:eastAsia="zh-CN"/>
              </w:rPr>
              <w:t>100       16.</w:t>
            </w:r>
            <w:r>
              <w:rPr>
                <w:rFonts w:hint="eastAsia"/>
                <w:color w:val="000000"/>
                <w:sz w:val="16"/>
                <w:szCs w:val="20"/>
              </w:rPr>
              <w:t>亚胺培南</w:t>
            </w:r>
            <w:r>
              <w:rPr>
                <w:rFonts w:hint="eastAsia"/>
                <w:color w:val="000000"/>
                <w:sz w:val="16"/>
                <w:szCs w:val="20"/>
                <w:lang w:eastAsia="zh-CN"/>
              </w:rPr>
              <w:t>：</w:t>
            </w:r>
            <w:r>
              <w:rPr>
                <w:rFonts w:hint="eastAsia"/>
                <w:color w:val="000000"/>
                <w:sz w:val="16"/>
                <w:szCs w:val="20"/>
                <w:lang w:val="en-US" w:eastAsia="zh-CN"/>
              </w:rPr>
              <w:t>100</w:t>
            </w:r>
          </w:p>
          <w:p>
            <w:pPr>
              <w:rPr>
                <w:rFonts w:hint="eastAsia" w:asciiTheme="majorEastAsia" w:hAnsiTheme="majorEastAsia" w:eastAsiaTheme="majorEastAsia" w:cstheme="majorEastAsia"/>
                <w:sz w:val="21"/>
                <w:szCs w:val="21"/>
              </w:rPr>
            </w:pPr>
          </w:p>
        </w:tc>
      </w:tr>
    </w:tbl>
    <w:p/>
    <w:p/>
    <w:p>
      <w:r>
        <w:rPr>
          <w:rFonts w:hint="eastAsia" w:ascii="宋体" w:hAnsi="宋体" w:eastAsia="宋体" w:cs="宋体"/>
          <w:kern w:val="0"/>
          <w:sz w:val="24"/>
          <w:szCs w:val="24"/>
          <w:lang w:val="en-US" w:eastAsia="zh-CN"/>
        </w:rPr>
        <w:t>第2包：</w:t>
      </w:r>
      <w:r>
        <w:rPr>
          <w:rFonts w:hint="eastAsia"/>
        </w:rPr>
        <w:t>尿视黄醇结合蛋白检测（免疫比浊法）</w:t>
      </w:r>
    </w:p>
    <w:tbl>
      <w:tblPr>
        <w:tblStyle w:val="3"/>
        <w:tblpPr w:leftFromText="180" w:rightFromText="180" w:vertAnchor="page" w:horzAnchor="page" w:tblpX="1923" w:tblpY="181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61"/>
        <w:gridCol w:w="42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项目名称</w:t>
            </w:r>
          </w:p>
        </w:tc>
        <w:tc>
          <w:tcPr>
            <w:tcW w:w="4261" w:type="dxa"/>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项目使用要求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vAlign w:val="center"/>
          </w:tcPr>
          <w:p>
            <w:pPr>
              <w:widowControl/>
              <w:wordWrap w:val="0"/>
              <w:spacing w:line="193" w:lineRule="atLeas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尿视黄醇结合蛋白检测（免疫比浊法）</w:t>
            </w:r>
          </w:p>
        </w:tc>
        <w:tc>
          <w:tcPr>
            <w:tcW w:w="4261" w:type="dxa"/>
          </w:tcPr>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①检测方法：免疫比浊法</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②预期用途：可体外定量检测尿视黄醇结合蛋白的含量</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③检测性能：分析灵敏度，1.0mg/L的视黄醇结合蛋白尿液样本吸光度差值应在0.0005＜△＜0.3范围内；尿在0.2~10mg/L浓度范围内线性回归的相关系数应不低于0.99；重复测定高、低水平的尿液样品，其结果的变异系数（CV）不超过10%；重复测量尿液样品，相对极差R不超过10%；</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④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除外)</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⑤适配仪器：贝克曼AU5800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2"/>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备注：预估年使用量（6000检测人份）</w:t>
            </w:r>
          </w:p>
        </w:tc>
      </w:tr>
    </w:tbl>
    <w:p>
      <w:pPr>
        <w:rPr>
          <w:rFonts w:hint="eastAsia" w:eastAsiaTheme="minorEastAsia"/>
          <w:lang w:eastAsia="zh-CN"/>
        </w:rPr>
      </w:pPr>
    </w:p>
    <w:p>
      <w:pPr>
        <w:rPr>
          <w:rFonts w:hint="eastAsia" w:eastAsiaTheme="minorEastAsia"/>
          <w:lang w:eastAsia="zh-CN"/>
        </w:rPr>
      </w:pPr>
    </w:p>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第3包：</w:t>
      </w:r>
      <w:r>
        <w:rPr>
          <w:rFonts w:hint="eastAsia" w:ascii="宋体" w:hAnsi="宋体" w:eastAsia="宋体" w:cs="宋体"/>
          <w:kern w:val="0"/>
          <w:sz w:val="24"/>
          <w:szCs w:val="24"/>
        </w:rPr>
        <w:t>荧光</w:t>
      </w:r>
      <w:r>
        <w:rPr>
          <w:rFonts w:hint="eastAsia" w:ascii="宋体" w:hAnsi="宋体" w:eastAsia="宋体" w:cs="宋体"/>
          <w:kern w:val="0"/>
          <w:sz w:val="24"/>
          <w:szCs w:val="24"/>
          <w:lang w:val="en-US" w:eastAsia="zh-CN"/>
        </w:rPr>
        <w:t>素法（FISH）检测19项</w:t>
      </w:r>
    </w:p>
    <w:tbl>
      <w:tblPr>
        <w:tblStyle w:val="2"/>
        <w:tblW w:w="88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4"/>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04" w:type="dxa"/>
            <w:tcBorders>
              <w:bottom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3554" w:type="dxa"/>
            <w:tcBorders>
              <w:bottom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项目使用要求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5304" w:type="dxa"/>
            <w:shd w:val="clear" w:color="000000" w:fill="auto"/>
            <w:noWrap/>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MEF2D（1q22）基因断裂探针试剂（荧光原位杂交法）</w:t>
            </w:r>
          </w:p>
          <w:p>
            <w:pPr>
              <w:jc w:val="left"/>
              <w:rPr>
                <w:rFonts w:hint="eastAsia" w:ascii="宋体" w:hAnsi="宋体" w:eastAsia="宋体" w:cs="宋体"/>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TFC3-HLF融合基因探针试剂（荧光原位杂交法）</w:t>
            </w:r>
          </w:p>
          <w:p>
            <w:pPr>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D7S522/CEP7双色探针（荧光原位杂交法</w:t>
            </w:r>
          </w:p>
          <w:p>
            <w:pPr>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CSF1R（5q32）基因断裂探针试剂（荧光原位杂交法）</w:t>
            </w:r>
          </w:p>
          <w:p>
            <w:pPr>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EPOR基因断裂探针试剂（荧光原位杂交法）</w:t>
            </w:r>
          </w:p>
          <w:p>
            <w:pPr>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JAK2基因断裂探针试剂（荧光原位杂交法）</w:t>
            </w:r>
          </w:p>
          <w:p>
            <w:pPr>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ABL1基因断裂探针试剂（荧光原位杂交法）</w:t>
            </w:r>
          </w:p>
          <w:p>
            <w:pPr>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ABL2基因断裂探针试剂（荧光原位杂交法）</w:t>
            </w:r>
          </w:p>
          <w:p>
            <w:pPr>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PDGFRB基因断裂探针试剂（荧光原位杂交法）</w:t>
            </w:r>
          </w:p>
          <w:p>
            <w:pPr>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CRLF2基因断裂探针试剂（荧光原位杂交法）</w:t>
            </w:r>
          </w:p>
          <w:p>
            <w:pPr>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11.</w:t>
            </w:r>
            <w:r>
              <w:rPr>
                <w:rFonts w:hint="eastAsia" w:ascii="宋体" w:hAnsi="宋体" w:eastAsia="宋体" w:cs="宋体"/>
                <w:kern w:val="0"/>
                <w:sz w:val="21"/>
                <w:szCs w:val="21"/>
              </w:rPr>
              <w:t>FGFR1基因断裂探针试剂（荧光原位杂交法）</w:t>
            </w:r>
          </w:p>
          <w:p>
            <w:pPr>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w:t>
            </w:r>
            <w:r>
              <w:rPr>
                <w:rFonts w:hint="eastAsia" w:ascii="宋体" w:hAnsi="宋体" w:eastAsia="宋体" w:cs="宋体"/>
                <w:kern w:val="0"/>
                <w:sz w:val="21"/>
                <w:szCs w:val="21"/>
              </w:rPr>
              <w:t>P53基因探针试剂（荧光原位杂交法）</w:t>
            </w:r>
          </w:p>
          <w:p>
            <w:pPr>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13.</w:t>
            </w:r>
            <w:r>
              <w:rPr>
                <w:rFonts w:hint="eastAsia" w:ascii="宋体" w:hAnsi="宋体" w:eastAsia="宋体" w:cs="宋体"/>
                <w:kern w:val="0"/>
                <w:sz w:val="21"/>
                <w:szCs w:val="21"/>
              </w:rPr>
              <w:t>PD-L1（9p24）基因断裂探针试剂（荧光原位杂交法）</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SRD(1p36)基因缺失探针试剂（荧光原位杂交法）</w:t>
            </w:r>
          </w:p>
          <w:p>
            <w:pPr>
              <w:jc w:val="left"/>
              <w:rPr>
                <w:rFonts w:hint="eastAsia" w:ascii="宋体" w:hAnsi="宋体" w:eastAsia="宋体" w:cs="宋体"/>
                <w:sz w:val="21"/>
                <w:szCs w:val="21"/>
              </w:rPr>
            </w:pPr>
            <w:bookmarkStart w:id="0" w:name="OLE_LINK12"/>
            <w:bookmarkStart w:id="1" w:name="OLE_LINK15"/>
            <w:bookmarkStart w:id="2" w:name="OLE_LINK11"/>
            <w:r>
              <w:rPr>
                <w:rFonts w:hint="eastAsia" w:ascii="宋体" w:hAnsi="宋体" w:eastAsia="宋体" w:cs="宋体"/>
                <w:sz w:val="21"/>
                <w:szCs w:val="21"/>
                <w:lang w:val="en-US" w:eastAsia="zh-CN"/>
              </w:rPr>
              <w:t>15.</w:t>
            </w:r>
            <w:r>
              <w:rPr>
                <w:rFonts w:hint="eastAsia" w:ascii="宋体" w:hAnsi="宋体" w:eastAsia="宋体" w:cs="宋体"/>
                <w:sz w:val="21"/>
                <w:szCs w:val="21"/>
              </w:rPr>
              <w:t>MDM4基因扩增探针试剂（荧光原位杂交法）</w:t>
            </w:r>
          </w:p>
          <w:bookmarkEnd w:id="0"/>
          <w:bookmarkEnd w:id="1"/>
          <w:bookmarkEnd w:id="2"/>
          <w:p>
            <w:pPr>
              <w:jc w:val="left"/>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eastAsia="宋体" w:cs="宋体"/>
                <w:sz w:val="21"/>
                <w:szCs w:val="21"/>
              </w:rPr>
              <w:t>TERT（5p15）基因断裂探针试剂（荧光原位杂交法）</w:t>
            </w:r>
          </w:p>
          <w:p>
            <w:pPr>
              <w:jc w:val="left"/>
              <w:rPr>
                <w:rFonts w:hint="eastAsia" w:ascii="宋体" w:hAnsi="宋体" w:eastAsia="宋体" w:cs="宋体"/>
                <w:sz w:val="21"/>
                <w:szCs w:val="21"/>
              </w:rPr>
            </w:pPr>
            <w:bookmarkStart w:id="3" w:name="OLE_LINK30"/>
            <w:bookmarkStart w:id="4" w:name="OLE_LINK31"/>
            <w:r>
              <w:rPr>
                <w:rFonts w:hint="eastAsia" w:ascii="宋体" w:hAnsi="宋体" w:eastAsia="宋体" w:cs="宋体"/>
                <w:sz w:val="21"/>
                <w:szCs w:val="21"/>
                <w:lang w:val="en-US" w:eastAsia="zh-CN"/>
              </w:rPr>
              <w:t>17.</w:t>
            </w:r>
            <w:r>
              <w:rPr>
                <w:rFonts w:hint="eastAsia" w:ascii="宋体" w:hAnsi="宋体" w:eastAsia="宋体" w:cs="宋体"/>
                <w:sz w:val="21"/>
                <w:szCs w:val="21"/>
              </w:rPr>
              <w:t>D7S486/CEP7双色探针（荧光原位杂交法）</w:t>
            </w:r>
          </w:p>
          <w:bookmarkEnd w:id="3"/>
          <w:bookmarkEnd w:id="4"/>
          <w:p>
            <w:pPr>
              <w:jc w:val="left"/>
              <w:rPr>
                <w:rFonts w:hint="eastAsia" w:ascii="宋体" w:hAnsi="宋体" w:eastAsia="宋体" w:cs="宋体"/>
                <w:sz w:val="21"/>
                <w:szCs w:val="21"/>
              </w:rPr>
            </w:pPr>
            <w:r>
              <w:rPr>
                <w:rFonts w:hint="eastAsia" w:ascii="宋体" w:hAnsi="宋体" w:eastAsia="宋体" w:cs="宋体"/>
                <w:sz w:val="21"/>
                <w:szCs w:val="21"/>
                <w:lang w:val="en-US" w:eastAsia="zh-CN"/>
              </w:rPr>
              <w:t>18.</w:t>
            </w:r>
            <w:r>
              <w:rPr>
                <w:rFonts w:hint="eastAsia" w:ascii="宋体" w:hAnsi="宋体" w:eastAsia="宋体" w:cs="宋体"/>
                <w:sz w:val="21"/>
                <w:szCs w:val="21"/>
              </w:rPr>
              <w:t>EGR1/D5S630双色探针（荧光原位杂交法）</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D20S108/CEP8双色探针（荧光原位杂交法）</w:t>
            </w:r>
          </w:p>
          <w:p>
            <w:pPr>
              <w:jc w:val="left"/>
              <w:rPr>
                <w:rFonts w:hint="eastAsia" w:ascii="宋体" w:hAnsi="宋体" w:eastAsia="宋体" w:cs="宋体"/>
                <w:kern w:val="0"/>
                <w:sz w:val="21"/>
                <w:szCs w:val="21"/>
              </w:rPr>
            </w:pPr>
          </w:p>
        </w:tc>
        <w:tc>
          <w:tcPr>
            <w:tcW w:w="3554" w:type="dxa"/>
            <w:shd w:val="clear" w:color="000000" w:fill="auto"/>
            <w:noWrap/>
            <w:vAlign w:val="center"/>
          </w:tcPr>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①检测方法：荧光原位杂交法</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②预期用途：对白血病患者进行基因检测</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③检测性能：带有橘红色（Orange）荧光素和绿色（Green）荧光素标记的DNA探针，能与现有实验步骤对接。</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④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除外)</w:t>
            </w:r>
          </w:p>
          <w:p>
            <w:pPr>
              <w:spacing w:line="360" w:lineRule="auto"/>
              <w:rPr>
                <w:rFonts w:hint="eastAsia" w:ascii="宋体" w:hAnsi="宋体" w:eastAsia="宋体" w:cs="宋体"/>
                <w:kern w:val="0"/>
                <w:sz w:val="21"/>
                <w:szCs w:val="21"/>
              </w:rPr>
            </w:pPr>
            <w:r>
              <w:rPr>
                <w:rFonts w:hint="eastAsia" w:asciiTheme="majorEastAsia" w:hAnsiTheme="majorEastAsia" w:eastAsiaTheme="majorEastAsia" w:cstheme="majorEastAsia"/>
                <w:sz w:val="21"/>
                <w:szCs w:val="21"/>
              </w:rPr>
              <w:t>⑤适配仪器：自动原位杂交仪，荧光显微镜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858" w:type="dxa"/>
            <w:gridSpan w:val="2"/>
            <w:shd w:val="clear" w:color="000000" w:fill="auto"/>
            <w:noWrap/>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备注：</w:t>
            </w:r>
            <w:r>
              <w:rPr>
                <w:rFonts w:hint="eastAsia" w:ascii="宋体" w:hAnsi="宋体" w:eastAsia="宋体" w:cs="宋体"/>
                <w:sz w:val="21"/>
                <w:szCs w:val="21"/>
                <w:lang w:val="en-US" w:eastAsia="zh-CN"/>
              </w:rPr>
              <w:t>预估</w:t>
            </w:r>
            <w:r>
              <w:rPr>
                <w:rFonts w:hint="eastAsia" w:ascii="宋体" w:hAnsi="宋体" w:eastAsia="宋体" w:cs="宋体"/>
                <w:sz w:val="21"/>
                <w:szCs w:val="21"/>
              </w:rPr>
              <w:t>年使用量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检测人份</w:t>
            </w:r>
            <w:r>
              <w:rPr>
                <w:rFonts w:hint="eastAsia" w:ascii="宋体" w:hAnsi="宋体" w:eastAsia="宋体" w:cs="宋体"/>
                <w:sz w:val="21"/>
                <w:szCs w:val="21"/>
                <w:lang w:eastAsia="zh-CN"/>
              </w:rPr>
              <w:t>）</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MEF2D（1q22）基因断裂探针试剂（荧光原位杂交法）</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80</w:t>
            </w:r>
          </w:p>
          <w:p>
            <w:pPr>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TFC3-HLF融合基因探针试剂（荧光原位杂交法）</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80</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D7S522/CEP7双色探针（荧光原位杂交法</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20</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CSF1R（5q32）基因断裂探针试剂（荧光原位杂交法）</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20</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EPOR基因断裂探针试剂（荧光原位杂交法）</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50</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JAK2基因断裂探针试剂（荧光原位杂交法）</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50</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ABL1基因断裂探针试剂（荧光原位杂交法）</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50</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ABL2基因断裂探针试剂（荧光原位杂交法）</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50</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PDGFRB基因断裂探针试剂（荧光原位杂交法）</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50</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CRLF2基因断裂探针试剂（荧光原位杂交法）</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50</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r>
              <w:rPr>
                <w:rFonts w:hint="eastAsia" w:ascii="宋体" w:hAnsi="宋体" w:eastAsia="宋体" w:cs="宋体"/>
                <w:kern w:val="0"/>
                <w:sz w:val="21"/>
                <w:szCs w:val="21"/>
              </w:rPr>
              <w:t>FGFR1基因断裂探针试剂（荧光原位杂交法）</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50</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r>
              <w:rPr>
                <w:rFonts w:hint="eastAsia" w:ascii="宋体" w:hAnsi="宋体" w:eastAsia="宋体" w:cs="宋体"/>
                <w:kern w:val="0"/>
                <w:sz w:val="21"/>
                <w:szCs w:val="21"/>
              </w:rPr>
              <w:t>P53基因探针试剂（荧光原位杂交法）</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20</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w:t>
            </w:r>
            <w:r>
              <w:rPr>
                <w:rFonts w:hint="eastAsia" w:ascii="宋体" w:hAnsi="宋体" w:eastAsia="宋体" w:cs="宋体"/>
                <w:kern w:val="0"/>
                <w:sz w:val="21"/>
                <w:szCs w:val="21"/>
              </w:rPr>
              <w:t>PD-L1（9p24）基因断裂探针试剂（荧光原位杂交法）</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20</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rPr>
              <w:t>SRD(1p36)基因缺失探针试剂（荧光原位杂交法）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r>
              <w:rPr>
                <w:rFonts w:hint="eastAsia" w:ascii="宋体" w:hAnsi="宋体" w:eastAsia="宋体" w:cs="宋体"/>
                <w:sz w:val="21"/>
                <w:szCs w:val="21"/>
              </w:rPr>
              <w:t>MDM4基因扩增探针试剂（荧光原位杂交法）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r>
              <w:rPr>
                <w:rFonts w:hint="eastAsia" w:ascii="宋体" w:hAnsi="宋体" w:eastAsia="宋体" w:cs="宋体"/>
                <w:sz w:val="21"/>
                <w:szCs w:val="21"/>
              </w:rPr>
              <w:t>TERT（5p15）基因断裂探针试剂（荧光原位杂交法）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r>
              <w:rPr>
                <w:rFonts w:hint="eastAsia" w:ascii="宋体" w:hAnsi="宋体" w:eastAsia="宋体" w:cs="宋体"/>
                <w:sz w:val="21"/>
                <w:szCs w:val="21"/>
              </w:rPr>
              <w:t>D7S486/CEP7双色探针（荧光原位杂交法）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r>
              <w:rPr>
                <w:rFonts w:hint="eastAsia" w:ascii="宋体" w:hAnsi="宋体" w:eastAsia="宋体" w:cs="宋体"/>
                <w:sz w:val="21"/>
                <w:szCs w:val="21"/>
              </w:rPr>
              <w:t>EGR1/D5S630双色探针（荧光原位杂交法）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w:t>
            </w:r>
          </w:p>
          <w:p>
            <w:pPr>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D20S108/CEP8双色探针（荧光原位杂交法）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w:t>
            </w:r>
          </w:p>
        </w:tc>
      </w:tr>
    </w:tbl>
    <w:p>
      <w:pPr>
        <w:rPr>
          <w:rFonts w:hint="eastAsia" w:ascii="宋体" w:hAnsi="宋体" w:eastAsia="宋体" w:cs="宋体"/>
          <w:kern w:val="0"/>
          <w:sz w:val="24"/>
          <w:szCs w:val="24"/>
          <w:lang w:val="en-US" w:eastAsia="zh-CN"/>
        </w:rPr>
      </w:pPr>
    </w:p>
    <w:p>
      <w:pPr>
        <w:spacing w:line="300" w:lineRule="auto"/>
        <w:rPr>
          <w:rFonts w:asciiTheme="minorEastAsia" w:hAnsiTheme="minorEastAsia"/>
          <w:sz w:val="24"/>
          <w:szCs w:val="24"/>
        </w:rPr>
      </w:pPr>
      <w:bookmarkStart w:id="5" w:name="_GoBack"/>
      <w:bookmarkEnd w:id="5"/>
      <w:r>
        <w:rPr>
          <w:rFonts w:hint="eastAsia" w:asciiTheme="minorEastAsia" w:hAnsiTheme="minorEastAsia"/>
          <w:sz w:val="24"/>
          <w:szCs w:val="24"/>
        </w:rPr>
        <w:t>1、提供产品清单，包括产品信息和报价。</w:t>
      </w:r>
    </w:p>
    <w:p>
      <w:pPr>
        <w:spacing w:line="300" w:lineRule="auto"/>
        <w:rPr>
          <w:rFonts w:asciiTheme="minorEastAsia" w:hAnsiTheme="minorEastAsia"/>
          <w:sz w:val="24"/>
          <w:szCs w:val="24"/>
        </w:rPr>
      </w:pPr>
      <w:r>
        <w:rPr>
          <w:rFonts w:hint="eastAsia" w:asciiTheme="minorEastAsia" w:hAnsiTheme="minorEastAsia"/>
          <w:sz w:val="24"/>
          <w:szCs w:val="24"/>
        </w:rPr>
        <w:t>（1）产品信息，提供试剂、试剂盒、校准品、质控品、辅助品等产品名称、包装规格、生产厂家全称、存储条件、保质期等信息，必须与产品资证及实物包装相符。未列出的质控品、校准品及相关辅助产品将被视为标准配置，院方不再另行单独采购。</w:t>
      </w:r>
    </w:p>
    <w:p>
      <w:pPr>
        <w:spacing w:line="300" w:lineRule="auto"/>
        <w:rPr>
          <w:rFonts w:asciiTheme="minorEastAsia" w:hAnsiTheme="minorEastAsia"/>
          <w:sz w:val="24"/>
          <w:szCs w:val="24"/>
        </w:rPr>
      </w:pPr>
      <w:r>
        <w:rPr>
          <w:rFonts w:hint="eastAsia" w:asciiTheme="minorEastAsia" w:hAnsiTheme="minorEastAsia"/>
          <w:sz w:val="24"/>
          <w:szCs w:val="24"/>
        </w:rPr>
        <w:t>（2）产品报价，须包含所提供产品的采购、运输、保险、税收、配送服务等一切费用，采购方不再承担额外费用。报价信息包括单人份报价（即试剂、试剂盒、校准品、质控品、辅助品等所有产品完成该检测所需成本）、试剂对应检测项目名称及收费价格信息、单人份价格/项目收费价格、扣率等。</w:t>
      </w:r>
    </w:p>
    <w:p>
      <w:pPr>
        <w:spacing w:line="300" w:lineRule="auto"/>
        <w:rPr>
          <w:rFonts w:asciiTheme="minorEastAsia" w:hAnsiTheme="minorEastAsia"/>
          <w:sz w:val="24"/>
          <w:szCs w:val="24"/>
        </w:rPr>
      </w:pPr>
      <w:r>
        <w:rPr>
          <w:rFonts w:hint="eastAsia" w:asciiTheme="minorEastAsia" w:hAnsiTheme="minorEastAsia"/>
          <w:sz w:val="24"/>
          <w:szCs w:val="24"/>
        </w:rPr>
        <w:t>2、提供本市三级公立医院试剂价格发票复印件。</w:t>
      </w:r>
    </w:p>
    <w:p>
      <w:pPr>
        <w:spacing w:line="300" w:lineRule="auto"/>
        <w:rPr>
          <w:rFonts w:asciiTheme="minorEastAsia" w:hAnsiTheme="minorEastAsia"/>
          <w:sz w:val="24"/>
          <w:szCs w:val="24"/>
        </w:rPr>
      </w:pPr>
      <w:r>
        <w:rPr>
          <w:rFonts w:hint="eastAsia" w:asciiTheme="minorEastAsia" w:hAnsiTheme="minorEastAsia"/>
          <w:sz w:val="24"/>
          <w:szCs w:val="24"/>
        </w:rPr>
        <w:t>3、试剂价格5年内不得上涨；但受收费政策、新技术发展、应用规模、竞争产品、同行比照等因素影响，应配合价格评估并及时对价格下调。</w:t>
      </w:r>
    </w:p>
    <w:p>
      <w:pPr>
        <w:spacing w:line="300" w:lineRule="auto"/>
        <w:rPr>
          <w:rFonts w:asciiTheme="minorEastAsia" w:hAnsiTheme="minorEastAsia"/>
          <w:sz w:val="24"/>
          <w:szCs w:val="24"/>
        </w:rPr>
      </w:pPr>
      <w:r>
        <w:rPr>
          <w:rFonts w:hint="eastAsia" w:asciiTheme="minorEastAsia" w:hAnsiTheme="minorEastAsia"/>
          <w:sz w:val="24"/>
          <w:szCs w:val="24"/>
        </w:rPr>
        <w:t>4、提供产品资证、相关说明书、存储要求、供应包装与标签等文件。</w:t>
      </w:r>
    </w:p>
    <w:p>
      <w:pPr>
        <w:spacing w:line="300" w:lineRule="auto"/>
        <w:rPr>
          <w:rFonts w:asciiTheme="minorEastAsia" w:hAnsiTheme="minorEastAsia"/>
          <w:sz w:val="24"/>
          <w:szCs w:val="24"/>
        </w:rPr>
      </w:pPr>
      <w:r>
        <w:rPr>
          <w:rFonts w:hint="eastAsia" w:asciiTheme="minorEastAsia" w:hAnsiTheme="minorEastAsia"/>
          <w:sz w:val="24"/>
          <w:szCs w:val="24"/>
        </w:rPr>
        <w:t>（1）所有产品（包括试剂、试剂盒、校准品、质控品、辅助品等）的文件资料必须真实有效，包括但不限于：营业执照、经营许可证、生产许可证、代理授权文件、医疗器械注册证、第一类医疗器械备案凭证、说明书等。</w:t>
      </w:r>
    </w:p>
    <w:p>
      <w:pPr>
        <w:spacing w:line="300" w:lineRule="auto"/>
        <w:rPr>
          <w:rFonts w:asciiTheme="minorEastAsia" w:hAnsiTheme="minorEastAsia"/>
          <w:sz w:val="24"/>
          <w:szCs w:val="24"/>
        </w:rPr>
      </w:pPr>
      <w:r>
        <w:rPr>
          <w:rFonts w:hint="eastAsia" w:asciiTheme="minorEastAsia" w:hAnsiTheme="minorEastAsia"/>
          <w:sz w:val="24"/>
          <w:szCs w:val="24"/>
        </w:rPr>
        <w:t>（2）进口产品，须同时提供原版与中文的相关说明书。</w:t>
      </w:r>
    </w:p>
    <w:p>
      <w:pPr>
        <w:spacing w:line="300" w:lineRule="auto"/>
        <w:rPr>
          <w:rFonts w:asciiTheme="minorEastAsia" w:hAnsiTheme="minorEastAsia"/>
          <w:sz w:val="24"/>
          <w:szCs w:val="24"/>
        </w:rPr>
      </w:pPr>
      <w:r>
        <w:rPr>
          <w:rFonts w:hint="eastAsia" w:asciiTheme="minorEastAsia" w:hAnsiTheme="minorEastAsia"/>
          <w:sz w:val="24"/>
          <w:szCs w:val="24"/>
        </w:rPr>
        <w:t>5、接到院方通知后保证24小时内配送到达服务，保障临床需求。</w:t>
      </w:r>
    </w:p>
    <w:p>
      <w:pPr>
        <w:spacing w:line="300" w:lineRule="auto"/>
        <w:rPr>
          <w:rFonts w:asciiTheme="minorEastAsia" w:hAnsiTheme="minorEastAsia"/>
          <w:sz w:val="24"/>
          <w:szCs w:val="24"/>
        </w:rPr>
      </w:pPr>
      <w:r>
        <w:rPr>
          <w:rFonts w:hint="eastAsia" w:asciiTheme="minorEastAsia" w:hAnsiTheme="minorEastAsia"/>
          <w:sz w:val="24"/>
          <w:szCs w:val="24"/>
        </w:rPr>
        <w:t>6、提供的产品需符合国家关于质量、运输、存储、安全的规定与要求，并通过实验室质量管理要求的相关性能验证。</w:t>
      </w:r>
    </w:p>
    <w:p>
      <w:pPr>
        <w:spacing w:line="300" w:lineRule="auto"/>
        <w:rPr>
          <w:rFonts w:asciiTheme="minorEastAsia" w:hAnsiTheme="minorEastAsia"/>
          <w:sz w:val="24"/>
          <w:szCs w:val="24"/>
        </w:rPr>
      </w:pPr>
      <w:r>
        <w:rPr>
          <w:rFonts w:hint="eastAsia" w:asciiTheme="minorEastAsia" w:hAnsiTheme="minorEastAsia"/>
          <w:sz w:val="24"/>
          <w:szCs w:val="24"/>
        </w:rPr>
        <w:t>7、提供完善的培训、指导等技术支持，保障临床应用。</w:t>
      </w:r>
    </w:p>
    <w:p>
      <w:pPr>
        <w:spacing w:line="300" w:lineRule="auto"/>
        <w:rPr>
          <w:rFonts w:asciiTheme="minorEastAsia" w:hAnsiTheme="minorEastAsia"/>
          <w:sz w:val="24"/>
          <w:szCs w:val="24"/>
        </w:rPr>
      </w:pPr>
      <w:r>
        <w:rPr>
          <w:rFonts w:hint="eastAsia" w:asciiTheme="minorEastAsia" w:hAnsiTheme="minorEastAsia"/>
          <w:sz w:val="24"/>
          <w:szCs w:val="24"/>
        </w:rPr>
        <w:t>8、提供完善的应急预案，以保证出现突发或意外情况时，不影响院方的正常工作。应急预案应包括：产品的应急、物流的应急等。</w:t>
      </w:r>
    </w:p>
    <w:p>
      <w:pPr>
        <w:spacing w:line="300" w:lineRule="auto"/>
        <w:rPr>
          <w:rFonts w:asciiTheme="minorEastAsia" w:hAnsiTheme="minorEastAsia"/>
          <w:sz w:val="24"/>
          <w:szCs w:val="24"/>
        </w:rPr>
      </w:pPr>
      <w:r>
        <w:rPr>
          <w:rFonts w:hint="eastAsia" w:asciiTheme="minorEastAsia" w:hAnsiTheme="minorEastAsia"/>
          <w:sz w:val="24"/>
          <w:szCs w:val="24"/>
        </w:rPr>
        <w:t>9、保障产品质量并及时供应，并接受院方因为临床需求变更、产品升级及其它质量、价格等变化而提出的服务期结束要求。</w:t>
      </w:r>
    </w:p>
    <w:p>
      <w:pPr>
        <w:spacing w:line="300" w:lineRule="auto"/>
        <w:rPr>
          <w:rFonts w:asciiTheme="minorEastAsia" w:hAnsiTheme="minorEastAsia"/>
          <w:sz w:val="24"/>
          <w:szCs w:val="24"/>
        </w:rPr>
      </w:pPr>
      <w:r>
        <w:rPr>
          <w:rFonts w:hint="eastAsia" w:asciiTheme="minorEastAsia" w:hAnsiTheme="minorEastAsia"/>
          <w:sz w:val="24"/>
          <w:szCs w:val="24"/>
        </w:rPr>
        <w:t>10、院方在实际使用过程中，若发现无效产品，或出现产品与医疗器械注册证等相关证明文件的信息不相符的情况，供应商须无偿补足损耗并承担相应责任。</w:t>
      </w:r>
    </w:p>
    <w:p>
      <w:pPr>
        <w:spacing w:line="300" w:lineRule="auto"/>
        <w:rPr>
          <w:rFonts w:asciiTheme="minorEastAsia" w:hAnsiTheme="minorEastAsia"/>
          <w:sz w:val="24"/>
          <w:szCs w:val="24"/>
        </w:rPr>
      </w:pPr>
      <w:r>
        <w:rPr>
          <w:rFonts w:hint="eastAsia" w:asciiTheme="minorEastAsia" w:hAnsiTheme="minorEastAsia"/>
          <w:sz w:val="24"/>
          <w:szCs w:val="24"/>
        </w:rPr>
        <w:t>11、院方在实际使用过程中，若发现有不合格产品，供应商须对所有剩余产品进行无条件更换。</w:t>
      </w:r>
    </w:p>
    <w:p>
      <w:pPr>
        <w:spacing w:line="300" w:lineRule="auto"/>
        <w:rPr>
          <w:rFonts w:asciiTheme="minorEastAsia" w:hAnsiTheme="minorEastAsia"/>
          <w:sz w:val="24"/>
          <w:szCs w:val="24"/>
        </w:rPr>
      </w:pPr>
      <w:r>
        <w:rPr>
          <w:rFonts w:hint="eastAsia" w:asciiTheme="minorEastAsia" w:hAnsiTheme="minorEastAsia"/>
          <w:sz w:val="24"/>
          <w:szCs w:val="24"/>
        </w:rPr>
        <w:t>12、供应商所供货物自用户验收之日起计算，剩余有效期要求≥6个月；对有效期≤6个月的货物，供应商须在产品有效期内提供无条件更换服务。</w:t>
      </w:r>
    </w:p>
    <w:p>
      <w:pPr>
        <w:spacing w:line="300" w:lineRule="auto"/>
        <w:rPr>
          <w:rFonts w:asciiTheme="minorEastAsia" w:hAnsiTheme="minorEastAsia"/>
          <w:sz w:val="24"/>
          <w:szCs w:val="24"/>
        </w:rPr>
      </w:pPr>
      <w:r>
        <w:rPr>
          <w:rFonts w:hint="eastAsia" w:asciiTheme="minorEastAsia" w:hAnsiTheme="minorEastAsia"/>
          <w:sz w:val="24"/>
          <w:szCs w:val="24"/>
        </w:rPr>
        <w:t>13、积极配合院方完成相关质控工作。</w:t>
      </w:r>
    </w:p>
    <w:p>
      <w:pPr>
        <w:spacing w:line="300" w:lineRule="auto"/>
        <w:rPr>
          <w:rFonts w:asciiTheme="minorEastAsia" w:hAnsiTheme="minorEastAsia"/>
          <w:sz w:val="24"/>
          <w:szCs w:val="24"/>
        </w:rPr>
      </w:pPr>
      <w:r>
        <w:rPr>
          <w:rFonts w:hint="eastAsia" w:asciiTheme="minorEastAsia" w:hAnsiTheme="minorEastAsia"/>
          <w:sz w:val="24"/>
          <w:szCs w:val="24"/>
        </w:rPr>
        <w:t>14、产品在上海市临检中心室间质控检测中出现不合格的，院方有权废除其中选资格，结束其服务，且由此产生的费用由供应商承担。</w:t>
      </w:r>
    </w:p>
    <w:p>
      <w:pPr>
        <w:spacing w:line="300" w:lineRule="auto"/>
        <w:rPr>
          <w:rFonts w:asciiTheme="minorEastAsia" w:hAnsiTheme="minorEastAsia"/>
          <w:sz w:val="24"/>
          <w:szCs w:val="24"/>
        </w:rPr>
      </w:pPr>
      <w:r>
        <w:rPr>
          <w:rFonts w:hint="eastAsia" w:asciiTheme="minorEastAsia" w:hAnsiTheme="minorEastAsia"/>
          <w:sz w:val="24"/>
          <w:szCs w:val="24"/>
        </w:rPr>
        <w:t>15、若因产品质量问题或技术支持不够完善，引起的患者伤害及一切不良后果，供应商将承担由此引发的全部法律责任及经济赔偿。</w:t>
      </w:r>
    </w:p>
    <w:p>
      <w:pPr>
        <w:spacing w:line="300" w:lineRule="auto"/>
        <w:rPr>
          <w:rFonts w:asciiTheme="minorEastAsia" w:hAnsiTheme="minorEastAsia"/>
          <w:sz w:val="24"/>
          <w:szCs w:val="24"/>
        </w:rPr>
      </w:pPr>
      <w:r>
        <w:rPr>
          <w:rFonts w:hint="eastAsia" w:asciiTheme="minorEastAsia" w:hAnsiTheme="minorEastAsia"/>
          <w:sz w:val="24"/>
          <w:szCs w:val="24"/>
        </w:rPr>
        <w:t>16．报价一览表（公司须按照如下报价要求进行报价）</w:t>
      </w:r>
    </w:p>
    <w:p>
      <w:pPr>
        <w:spacing w:line="300" w:lineRule="auto"/>
        <w:rPr>
          <w:rFonts w:asciiTheme="minorEastAsia" w:hAnsiTheme="minorEastAsia"/>
          <w:sz w:val="24"/>
          <w:szCs w:val="24"/>
        </w:rPr>
      </w:pPr>
      <w:r>
        <w:rPr>
          <w:rFonts w:hint="eastAsia" w:asciiTheme="minorEastAsia" w:hAnsiTheme="minorEastAsia"/>
          <w:sz w:val="24"/>
          <w:szCs w:val="24"/>
        </w:rPr>
        <w:t>（说明：若试剂为非人份包装，单人份投标价格需按照每毫升报价除以厂家说明书注明的每毫升理论测试数提供）</w:t>
      </w:r>
    </w:p>
    <w:p>
      <w:pPr>
        <w:widowControl/>
        <w:wordWrap w:val="0"/>
        <w:spacing w:line="193" w:lineRule="atLeast"/>
        <w:rPr>
          <w:rFonts w:ascii="宋体" w:hAnsi="宋体" w:eastAsia="宋体" w:cs="宋体"/>
          <w:kern w:val="0"/>
          <w:szCs w:val="21"/>
        </w:rPr>
      </w:pPr>
    </w:p>
    <w:tbl>
      <w:tblPr>
        <w:tblStyle w:val="2"/>
        <w:tblpPr w:leftFromText="180" w:rightFromText="180" w:vertAnchor="text" w:horzAnchor="margin" w:tblpXSpec="center" w:tblpY="41"/>
        <w:tblOverlap w:val="never"/>
        <w:tblW w:w="98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0"/>
        <w:gridCol w:w="471"/>
        <w:gridCol w:w="471"/>
        <w:gridCol w:w="471"/>
        <w:gridCol w:w="436"/>
        <w:gridCol w:w="436"/>
        <w:gridCol w:w="436"/>
        <w:gridCol w:w="662"/>
        <w:gridCol w:w="609"/>
        <w:gridCol w:w="378"/>
        <w:gridCol w:w="662"/>
        <w:gridCol w:w="695"/>
        <w:gridCol w:w="656"/>
        <w:gridCol w:w="656"/>
        <w:gridCol w:w="510"/>
        <w:gridCol w:w="508"/>
        <w:gridCol w:w="659"/>
        <w:gridCol w:w="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0" w:hRule="atLeast"/>
        </w:trPr>
        <w:tc>
          <w:tcPr>
            <w:tcW w:w="460" w:type="dxa"/>
            <w:vMerge w:val="restart"/>
            <w:vAlign w:val="center"/>
          </w:tcPr>
          <w:p>
            <w:pPr>
              <w:spacing w:line="360" w:lineRule="auto"/>
              <w:jc w:val="center"/>
              <w:rPr>
                <w:rFonts w:ascii="宋体" w:hAnsi="宋体"/>
                <w:sz w:val="22"/>
              </w:rPr>
            </w:pPr>
            <w:r>
              <w:rPr>
                <w:rFonts w:hint="eastAsia" w:ascii="宋体" w:hAnsi="宋体"/>
                <w:sz w:val="22"/>
              </w:rPr>
              <w:t>序号</w:t>
            </w:r>
          </w:p>
        </w:tc>
        <w:tc>
          <w:tcPr>
            <w:tcW w:w="471" w:type="dxa"/>
            <w:vMerge w:val="restart"/>
          </w:tcPr>
          <w:p>
            <w:pPr>
              <w:jc w:val="center"/>
              <w:rPr>
                <w:rFonts w:ascii="宋体" w:hAnsi="宋体"/>
                <w:sz w:val="22"/>
              </w:rPr>
            </w:pPr>
            <w:r>
              <w:rPr>
                <w:rFonts w:hint="eastAsia" w:ascii="宋体" w:hAnsi="宋体"/>
                <w:sz w:val="22"/>
              </w:rPr>
              <w:t>项目名称</w:t>
            </w:r>
          </w:p>
        </w:tc>
        <w:tc>
          <w:tcPr>
            <w:tcW w:w="471" w:type="dxa"/>
            <w:vMerge w:val="restart"/>
          </w:tcPr>
          <w:p>
            <w:pPr>
              <w:jc w:val="center"/>
              <w:rPr>
                <w:rFonts w:ascii="宋体" w:hAnsi="宋体"/>
                <w:sz w:val="22"/>
              </w:rPr>
            </w:pPr>
            <w:r>
              <w:rPr>
                <w:rFonts w:hint="eastAsia" w:ascii="宋体" w:hAnsi="宋体" w:eastAsia="宋体" w:cs="宋体"/>
                <w:kern w:val="0"/>
                <w:szCs w:val="21"/>
              </w:rPr>
              <w:t>年应用量（估计）</w:t>
            </w:r>
          </w:p>
        </w:tc>
        <w:tc>
          <w:tcPr>
            <w:tcW w:w="471" w:type="dxa"/>
            <w:vMerge w:val="restart"/>
            <w:vAlign w:val="center"/>
          </w:tcPr>
          <w:p>
            <w:pPr>
              <w:widowControl/>
              <w:jc w:val="center"/>
              <w:rPr>
                <w:rFonts w:ascii="宋体" w:hAnsi="宋体"/>
                <w:sz w:val="22"/>
              </w:rPr>
            </w:pPr>
            <w:r>
              <w:rPr>
                <w:rFonts w:hint="eastAsia" w:ascii="宋体" w:hAnsi="宋体"/>
                <w:sz w:val="22"/>
              </w:rPr>
              <w:t>投标试剂注册证名称</w:t>
            </w:r>
          </w:p>
        </w:tc>
        <w:tc>
          <w:tcPr>
            <w:tcW w:w="1308" w:type="dxa"/>
            <w:gridSpan w:val="3"/>
            <w:vAlign w:val="center"/>
          </w:tcPr>
          <w:p>
            <w:pPr>
              <w:widowControl/>
              <w:jc w:val="center"/>
              <w:rPr>
                <w:rFonts w:ascii="宋体" w:hAnsi="宋体"/>
                <w:sz w:val="22"/>
              </w:rPr>
            </w:pPr>
            <w:r>
              <w:rPr>
                <w:rFonts w:hint="eastAsia" w:ascii="宋体" w:hAnsi="宋体"/>
                <w:sz w:val="22"/>
              </w:rPr>
              <w:t>用途类型</w:t>
            </w:r>
            <w:r>
              <w:rPr>
                <w:rFonts w:ascii="宋体" w:hAnsi="宋体"/>
                <w:sz w:val="22"/>
              </w:rPr>
              <w:br w:type="textWrapping"/>
            </w:r>
            <w:r>
              <w:rPr>
                <w:rFonts w:hint="eastAsia" w:ascii="宋体" w:hAnsi="宋体"/>
                <w:sz w:val="22"/>
              </w:rPr>
              <w:t>（勾选）</w:t>
            </w:r>
          </w:p>
        </w:tc>
        <w:tc>
          <w:tcPr>
            <w:tcW w:w="662" w:type="dxa"/>
            <w:vMerge w:val="restart"/>
            <w:vAlign w:val="center"/>
          </w:tcPr>
          <w:p>
            <w:pPr>
              <w:widowControl/>
              <w:jc w:val="center"/>
              <w:rPr>
                <w:rFonts w:ascii="宋体" w:hAnsi="宋体"/>
                <w:sz w:val="22"/>
              </w:rPr>
            </w:pPr>
            <w:r>
              <w:rPr>
                <w:rFonts w:hint="eastAsia" w:ascii="宋体" w:hAnsi="宋体"/>
                <w:sz w:val="22"/>
              </w:rPr>
              <w:t>试剂规格（按注册证填写）</w:t>
            </w:r>
          </w:p>
        </w:tc>
        <w:tc>
          <w:tcPr>
            <w:tcW w:w="609" w:type="dxa"/>
            <w:vMerge w:val="restart"/>
          </w:tcPr>
          <w:p>
            <w:pPr>
              <w:widowControl/>
              <w:spacing w:line="252" w:lineRule="atLeast"/>
              <w:rPr>
                <w:rFonts w:ascii="Calibri" w:hAnsi="Calibri" w:eastAsia="宋体" w:cs="宋体"/>
                <w:kern w:val="0"/>
                <w:szCs w:val="21"/>
              </w:rPr>
            </w:pPr>
            <w:r>
              <w:rPr>
                <w:rFonts w:hint="eastAsia" w:ascii="宋体" w:hAnsi="宋体" w:eastAsia="宋体" w:cs="宋体"/>
                <w:kern w:val="0"/>
                <w:szCs w:val="21"/>
              </w:rPr>
              <w:t>注册证号/</w:t>
            </w:r>
            <w:r>
              <w:rPr>
                <w:rFonts w:hint="eastAsia" w:ascii="宋体" w:hAnsi="宋体"/>
                <w:sz w:val="24"/>
              </w:rPr>
              <w:t>一类备案凭证</w:t>
            </w:r>
            <w:r>
              <w:rPr>
                <w:rFonts w:hint="eastAsia" w:ascii="宋体" w:hAnsi="宋体" w:eastAsia="宋体" w:cs="宋体"/>
                <w:kern w:val="0"/>
                <w:szCs w:val="21"/>
              </w:rPr>
              <w:t>号</w:t>
            </w:r>
          </w:p>
        </w:tc>
        <w:tc>
          <w:tcPr>
            <w:tcW w:w="378" w:type="dxa"/>
            <w:vMerge w:val="restart"/>
            <w:vAlign w:val="center"/>
          </w:tcPr>
          <w:p>
            <w:pPr>
              <w:widowControl/>
              <w:jc w:val="center"/>
              <w:rPr>
                <w:rFonts w:ascii="宋体" w:hAnsi="宋体"/>
                <w:sz w:val="22"/>
              </w:rPr>
            </w:pPr>
            <w:r>
              <w:rPr>
                <w:rFonts w:hint="eastAsia" w:ascii="宋体" w:hAnsi="宋体"/>
                <w:sz w:val="22"/>
              </w:rPr>
              <w:t>生产厂家名称</w:t>
            </w:r>
          </w:p>
        </w:tc>
        <w:tc>
          <w:tcPr>
            <w:tcW w:w="662" w:type="dxa"/>
            <w:vMerge w:val="restart"/>
            <w:vAlign w:val="center"/>
          </w:tcPr>
          <w:p>
            <w:pPr>
              <w:widowControl/>
              <w:jc w:val="center"/>
              <w:rPr>
                <w:rFonts w:ascii="宋体" w:hAnsi="宋体"/>
                <w:sz w:val="22"/>
              </w:rPr>
            </w:pPr>
            <w:r>
              <w:rPr>
                <w:rFonts w:hint="eastAsia" w:ascii="宋体" w:hAnsi="宋体"/>
                <w:sz w:val="22"/>
              </w:rPr>
              <w:t>最小订货单元报价（元/盒等）</w:t>
            </w:r>
          </w:p>
        </w:tc>
        <w:tc>
          <w:tcPr>
            <w:tcW w:w="695" w:type="dxa"/>
            <w:vMerge w:val="restart"/>
            <w:vAlign w:val="center"/>
          </w:tcPr>
          <w:p>
            <w:pPr>
              <w:widowControl/>
              <w:jc w:val="center"/>
              <w:rPr>
                <w:rFonts w:ascii="宋体" w:hAnsi="宋体" w:cs="宋体"/>
                <w:b/>
                <w:bCs/>
                <w:kern w:val="0"/>
                <w:sz w:val="22"/>
              </w:rPr>
            </w:pPr>
            <w:r>
              <w:rPr>
                <w:rFonts w:hint="eastAsia" w:ascii="宋体" w:hAnsi="宋体"/>
                <w:sz w:val="22"/>
              </w:rPr>
              <w:t>每订货单元标准测试数（人份/瓶，盒）</w:t>
            </w:r>
          </w:p>
        </w:tc>
        <w:tc>
          <w:tcPr>
            <w:tcW w:w="656" w:type="dxa"/>
            <w:vMerge w:val="restart"/>
            <w:vAlign w:val="center"/>
          </w:tcPr>
          <w:p>
            <w:pPr>
              <w:widowControl/>
              <w:jc w:val="center"/>
              <w:rPr>
                <w:rFonts w:ascii="宋体" w:hAnsi="宋体" w:cs="宋体"/>
                <w:b/>
                <w:bCs/>
                <w:kern w:val="0"/>
                <w:sz w:val="22"/>
              </w:rPr>
            </w:pPr>
            <w:r>
              <w:rPr>
                <w:rFonts w:hint="eastAsia" w:ascii="宋体" w:hAnsi="宋体"/>
                <w:sz w:val="22"/>
              </w:rPr>
              <w:t>包装规格（*瓶/盒，*ml/瓶等）</w:t>
            </w:r>
          </w:p>
        </w:tc>
        <w:tc>
          <w:tcPr>
            <w:tcW w:w="656" w:type="dxa"/>
            <w:vMerge w:val="restart"/>
            <w:vAlign w:val="center"/>
          </w:tcPr>
          <w:p>
            <w:pPr>
              <w:widowControl/>
              <w:jc w:val="center"/>
              <w:rPr>
                <w:rFonts w:ascii="宋体" w:hAnsi="宋体" w:cs="宋体"/>
                <w:b/>
                <w:bCs/>
                <w:kern w:val="0"/>
                <w:sz w:val="22"/>
              </w:rPr>
            </w:pPr>
            <w:r>
              <w:rPr>
                <w:rFonts w:hint="eastAsia" w:ascii="宋体" w:hAnsi="宋体"/>
                <w:sz w:val="22"/>
              </w:rPr>
              <w:t>单人份投标价（元/人份）</w:t>
            </w:r>
          </w:p>
        </w:tc>
        <w:tc>
          <w:tcPr>
            <w:tcW w:w="510" w:type="dxa"/>
            <w:vMerge w:val="restart"/>
            <w:vAlign w:val="center"/>
          </w:tcPr>
          <w:p>
            <w:pPr>
              <w:spacing w:line="360" w:lineRule="auto"/>
              <w:jc w:val="center"/>
              <w:rPr>
                <w:rFonts w:ascii="宋体" w:hAnsi="宋体"/>
                <w:sz w:val="22"/>
              </w:rPr>
            </w:pPr>
            <w:r>
              <w:rPr>
                <w:rFonts w:hint="eastAsia" w:ascii="宋体" w:hAnsi="宋体"/>
                <w:sz w:val="22"/>
              </w:rPr>
              <w:t>项目收费代码</w:t>
            </w:r>
          </w:p>
        </w:tc>
        <w:tc>
          <w:tcPr>
            <w:tcW w:w="508" w:type="dxa"/>
            <w:vMerge w:val="restart"/>
            <w:vAlign w:val="center"/>
          </w:tcPr>
          <w:p>
            <w:pPr>
              <w:spacing w:line="360" w:lineRule="auto"/>
              <w:rPr>
                <w:rFonts w:ascii="宋体" w:hAnsi="宋体"/>
                <w:sz w:val="22"/>
              </w:rPr>
            </w:pPr>
            <w:r>
              <w:rPr>
                <w:rFonts w:hint="eastAsia" w:ascii="宋体" w:hAnsi="宋体"/>
                <w:sz w:val="22"/>
              </w:rPr>
              <w:t>项目收费名称</w:t>
            </w:r>
          </w:p>
        </w:tc>
        <w:tc>
          <w:tcPr>
            <w:tcW w:w="659" w:type="dxa"/>
            <w:vMerge w:val="restart"/>
            <w:vAlign w:val="center"/>
          </w:tcPr>
          <w:p>
            <w:pPr>
              <w:spacing w:line="360" w:lineRule="auto"/>
              <w:jc w:val="center"/>
              <w:rPr>
                <w:rFonts w:ascii="宋体" w:hAnsi="宋体"/>
                <w:sz w:val="22"/>
              </w:rPr>
            </w:pPr>
            <w:r>
              <w:rPr>
                <w:rFonts w:hint="eastAsia" w:ascii="宋体" w:hAnsi="宋体"/>
                <w:sz w:val="22"/>
              </w:rPr>
              <w:t>项目收费价格（元/人份）</w:t>
            </w:r>
          </w:p>
        </w:tc>
        <w:tc>
          <w:tcPr>
            <w:tcW w:w="712" w:type="dxa"/>
            <w:vMerge w:val="restart"/>
            <w:vAlign w:val="center"/>
          </w:tcPr>
          <w:p>
            <w:pPr>
              <w:widowControl/>
              <w:jc w:val="center"/>
              <w:rPr>
                <w:rFonts w:ascii="宋体" w:hAnsi="宋体" w:cs="宋体"/>
                <w:b/>
                <w:bCs/>
                <w:color w:val="000000"/>
                <w:kern w:val="0"/>
                <w:sz w:val="22"/>
              </w:rPr>
            </w:pPr>
            <w:r>
              <w:rPr>
                <w:rFonts w:hint="eastAsia" w:ascii="宋体" w:hAnsi="宋体"/>
                <w:color w:val="000000"/>
                <w:sz w:val="22"/>
              </w:rPr>
              <w:t>扣率（折扣率=单人份价/项目收费价）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trPr>
        <w:tc>
          <w:tcPr>
            <w:tcW w:w="460" w:type="dxa"/>
            <w:vMerge w:val="continue"/>
            <w:vAlign w:val="center"/>
          </w:tcPr>
          <w:p>
            <w:pPr>
              <w:spacing w:line="360" w:lineRule="auto"/>
              <w:jc w:val="center"/>
              <w:rPr>
                <w:rFonts w:ascii="宋体" w:hAnsi="宋体"/>
                <w:color w:val="000000"/>
                <w:sz w:val="22"/>
              </w:rPr>
            </w:pPr>
          </w:p>
        </w:tc>
        <w:tc>
          <w:tcPr>
            <w:tcW w:w="471" w:type="dxa"/>
            <w:vMerge w:val="continue"/>
          </w:tcPr>
          <w:p>
            <w:pPr>
              <w:widowControl/>
              <w:jc w:val="center"/>
              <w:rPr>
                <w:rFonts w:ascii="宋体" w:hAnsi="宋体"/>
                <w:color w:val="000000"/>
                <w:sz w:val="22"/>
              </w:rPr>
            </w:pPr>
          </w:p>
        </w:tc>
        <w:tc>
          <w:tcPr>
            <w:tcW w:w="471" w:type="dxa"/>
            <w:vMerge w:val="continue"/>
          </w:tcPr>
          <w:p>
            <w:pPr>
              <w:widowControl/>
              <w:jc w:val="center"/>
              <w:rPr>
                <w:rFonts w:ascii="宋体" w:hAnsi="宋体"/>
                <w:color w:val="000000"/>
                <w:sz w:val="22"/>
              </w:rPr>
            </w:pPr>
          </w:p>
        </w:tc>
        <w:tc>
          <w:tcPr>
            <w:tcW w:w="471" w:type="dxa"/>
            <w:vMerge w:val="continue"/>
            <w:vAlign w:val="center"/>
          </w:tcPr>
          <w:p>
            <w:pPr>
              <w:widowControl/>
              <w:jc w:val="center"/>
              <w:rPr>
                <w:rFonts w:ascii="宋体" w:hAnsi="宋体"/>
                <w:color w:val="000000"/>
                <w:sz w:val="22"/>
              </w:rPr>
            </w:pPr>
          </w:p>
        </w:tc>
        <w:tc>
          <w:tcPr>
            <w:tcW w:w="436" w:type="dxa"/>
            <w:vAlign w:val="center"/>
          </w:tcPr>
          <w:p>
            <w:pPr>
              <w:widowControl/>
              <w:jc w:val="center"/>
              <w:rPr>
                <w:rFonts w:ascii="宋体" w:hAnsi="宋体"/>
                <w:color w:val="000000"/>
                <w:sz w:val="22"/>
              </w:rPr>
            </w:pPr>
            <w:r>
              <w:rPr>
                <w:rFonts w:hint="eastAsia" w:ascii="宋体" w:hAnsi="宋体"/>
                <w:color w:val="000000"/>
                <w:sz w:val="22"/>
              </w:rPr>
              <w:t>主试剂</w:t>
            </w:r>
          </w:p>
        </w:tc>
        <w:tc>
          <w:tcPr>
            <w:tcW w:w="436" w:type="dxa"/>
            <w:vAlign w:val="center"/>
          </w:tcPr>
          <w:p>
            <w:pPr>
              <w:widowControl/>
              <w:jc w:val="center"/>
              <w:rPr>
                <w:rFonts w:ascii="宋体" w:hAnsi="宋体"/>
                <w:color w:val="000000"/>
                <w:sz w:val="22"/>
              </w:rPr>
            </w:pPr>
            <w:r>
              <w:rPr>
                <w:rFonts w:hint="eastAsia" w:ascii="宋体" w:hAnsi="宋体"/>
                <w:color w:val="000000"/>
                <w:sz w:val="22"/>
              </w:rPr>
              <w:t>辅助试剂</w:t>
            </w:r>
          </w:p>
        </w:tc>
        <w:tc>
          <w:tcPr>
            <w:tcW w:w="436" w:type="dxa"/>
            <w:vAlign w:val="center"/>
          </w:tcPr>
          <w:p>
            <w:pPr>
              <w:widowControl/>
              <w:jc w:val="center"/>
              <w:rPr>
                <w:rFonts w:ascii="宋体" w:hAnsi="宋体"/>
                <w:color w:val="000000"/>
                <w:sz w:val="22"/>
              </w:rPr>
            </w:pPr>
            <w:r>
              <w:rPr>
                <w:rFonts w:hint="eastAsia" w:ascii="宋体" w:hAnsi="宋体"/>
                <w:color w:val="000000"/>
                <w:sz w:val="22"/>
              </w:rPr>
              <w:t>质控品</w:t>
            </w:r>
          </w:p>
        </w:tc>
        <w:tc>
          <w:tcPr>
            <w:tcW w:w="662" w:type="dxa"/>
            <w:vMerge w:val="continue"/>
            <w:vAlign w:val="center"/>
          </w:tcPr>
          <w:p>
            <w:pPr>
              <w:widowControl/>
              <w:jc w:val="center"/>
              <w:rPr>
                <w:rFonts w:ascii="宋体" w:hAnsi="宋体"/>
                <w:color w:val="000000"/>
                <w:sz w:val="22"/>
              </w:rPr>
            </w:pPr>
          </w:p>
        </w:tc>
        <w:tc>
          <w:tcPr>
            <w:tcW w:w="609" w:type="dxa"/>
            <w:vMerge w:val="continue"/>
            <w:vAlign w:val="center"/>
          </w:tcPr>
          <w:p>
            <w:pPr>
              <w:widowControl/>
              <w:jc w:val="center"/>
              <w:rPr>
                <w:rFonts w:ascii="宋体" w:hAnsi="宋体"/>
                <w:color w:val="000000"/>
                <w:sz w:val="22"/>
              </w:rPr>
            </w:pPr>
          </w:p>
        </w:tc>
        <w:tc>
          <w:tcPr>
            <w:tcW w:w="378" w:type="dxa"/>
            <w:vMerge w:val="continue"/>
            <w:vAlign w:val="center"/>
          </w:tcPr>
          <w:p>
            <w:pPr>
              <w:widowControl/>
              <w:jc w:val="center"/>
              <w:rPr>
                <w:rFonts w:ascii="宋体" w:hAnsi="宋体"/>
                <w:color w:val="000000"/>
                <w:sz w:val="22"/>
              </w:rPr>
            </w:pPr>
          </w:p>
        </w:tc>
        <w:tc>
          <w:tcPr>
            <w:tcW w:w="662" w:type="dxa"/>
            <w:vMerge w:val="continue"/>
            <w:vAlign w:val="center"/>
          </w:tcPr>
          <w:p>
            <w:pPr>
              <w:widowControl/>
              <w:jc w:val="center"/>
              <w:rPr>
                <w:rFonts w:ascii="宋体" w:hAnsi="宋体"/>
                <w:color w:val="000000"/>
                <w:sz w:val="22"/>
              </w:rPr>
            </w:pPr>
          </w:p>
        </w:tc>
        <w:tc>
          <w:tcPr>
            <w:tcW w:w="695" w:type="dxa"/>
            <w:vMerge w:val="continue"/>
            <w:vAlign w:val="center"/>
          </w:tcPr>
          <w:p>
            <w:pPr>
              <w:widowControl/>
              <w:jc w:val="center"/>
              <w:rPr>
                <w:rFonts w:ascii="宋体" w:hAnsi="宋体"/>
                <w:color w:val="000000"/>
                <w:sz w:val="22"/>
              </w:rPr>
            </w:pPr>
          </w:p>
        </w:tc>
        <w:tc>
          <w:tcPr>
            <w:tcW w:w="656" w:type="dxa"/>
            <w:vMerge w:val="continue"/>
            <w:vAlign w:val="center"/>
          </w:tcPr>
          <w:p>
            <w:pPr>
              <w:widowControl/>
              <w:jc w:val="center"/>
              <w:rPr>
                <w:rFonts w:ascii="宋体" w:hAnsi="宋体"/>
                <w:color w:val="000000"/>
                <w:sz w:val="22"/>
              </w:rPr>
            </w:pPr>
          </w:p>
        </w:tc>
        <w:tc>
          <w:tcPr>
            <w:tcW w:w="656" w:type="dxa"/>
            <w:vMerge w:val="continue"/>
            <w:vAlign w:val="center"/>
          </w:tcPr>
          <w:p>
            <w:pPr>
              <w:widowControl/>
              <w:jc w:val="center"/>
              <w:rPr>
                <w:rFonts w:ascii="宋体" w:hAnsi="宋体"/>
                <w:color w:val="000000"/>
                <w:sz w:val="22"/>
              </w:rPr>
            </w:pPr>
          </w:p>
        </w:tc>
        <w:tc>
          <w:tcPr>
            <w:tcW w:w="510" w:type="dxa"/>
            <w:vMerge w:val="continue"/>
            <w:vAlign w:val="center"/>
          </w:tcPr>
          <w:p>
            <w:pPr>
              <w:spacing w:line="360" w:lineRule="auto"/>
              <w:jc w:val="center"/>
              <w:rPr>
                <w:rFonts w:ascii="宋体" w:hAnsi="宋体"/>
                <w:color w:val="000000"/>
                <w:sz w:val="22"/>
              </w:rPr>
            </w:pPr>
          </w:p>
        </w:tc>
        <w:tc>
          <w:tcPr>
            <w:tcW w:w="508" w:type="dxa"/>
            <w:vMerge w:val="continue"/>
            <w:vAlign w:val="center"/>
          </w:tcPr>
          <w:p>
            <w:pPr>
              <w:spacing w:line="360" w:lineRule="auto"/>
              <w:rPr>
                <w:rFonts w:ascii="宋体" w:hAnsi="宋体"/>
                <w:color w:val="000000"/>
                <w:sz w:val="22"/>
              </w:rPr>
            </w:pPr>
          </w:p>
        </w:tc>
        <w:tc>
          <w:tcPr>
            <w:tcW w:w="659" w:type="dxa"/>
            <w:vMerge w:val="continue"/>
            <w:vAlign w:val="center"/>
          </w:tcPr>
          <w:p>
            <w:pPr>
              <w:spacing w:line="360" w:lineRule="auto"/>
              <w:jc w:val="center"/>
              <w:rPr>
                <w:rFonts w:ascii="宋体" w:hAnsi="宋体"/>
                <w:color w:val="000000"/>
                <w:sz w:val="22"/>
              </w:rPr>
            </w:pPr>
          </w:p>
        </w:tc>
        <w:tc>
          <w:tcPr>
            <w:tcW w:w="712" w:type="dxa"/>
            <w:vMerge w:val="continue"/>
            <w:vAlign w:val="center"/>
          </w:tcPr>
          <w:p>
            <w:pPr>
              <w:widowControl/>
              <w:jc w:val="center"/>
              <w:rPr>
                <w:rFonts w:ascii="宋体" w:hAnsi="宋体"/>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460" w:type="dxa"/>
            <w:vAlign w:val="center"/>
          </w:tcPr>
          <w:p>
            <w:pPr>
              <w:spacing w:line="360" w:lineRule="auto"/>
              <w:jc w:val="center"/>
              <w:rPr>
                <w:rFonts w:ascii="宋体" w:hAnsi="宋体"/>
                <w:color w:val="000000"/>
                <w:sz w:val="22"/>
              </w:rPr>
            </w:pPr>
            <w:r>
              <w:rPr>
                <w:rFonts w:hint="eastAsia" w:ascii="宋体" w:hAnsi="宋体"/>
                <w:color w:val="000000"/>
                <w:sz w:val="22"/>
              </w:rPr>
              <w:t>1</w:t>
            </w:r>
          </w:p>
        </w:tc>
        <w:tc>
          <w:tcPr>
            <w:tcW w:w="471" w:type="dxa"/>
          </w:tcPr>
          <w:p>
            <w:pPr>
              <w:widowControl/>
              <w:jc w:val="center"/>
              <w:rPr>
                <w:rFonts w:ascii="宋体" w:hAnsi="宋体"/>
                <w:color w:val="000000"/>
                <w:sz w:val="22"/>
              </w:rPr>
            </w:pPr>
          </w:p>
        </w:tc>
        <w:tc>
          <w:tcPr>
            <w:tcW w:w="471" w:type="dxa"/>
          </w:tcPr>
          <w:p>
            <w:pPr>
              <w:widowControl/>
              <w:jc w:val="center"/>
              <w:rPr>
                <w:rFonts w:ascii="宋体" w:hAnsi="宋体"/>
                <w:color w:val="000000"/>
                <w:sz w:val="22"/>
              </w:rPr>
            </w:pPr>
          </w:p>
        </w:tc>
        <w:tc>
          <w:tcPr>
            <w:tcW w:w="471" w:type="dxa"/>
            <w:vAlign w:val="center"/>
          </w:tcPr>
          <w:p>
            <w:pPr>
              <w:widowControl/>
              <w:jc w:val="center"/>
              <w:rPr>
                <w:rFonts w:ascii="宋体" w:hAnsi="宋体"/>
                <w:color w:val="000000"/>
                <w:sz w:val="22"/>
              </w:rPr>
            </w:pPr>
          </w:p>
        </w:tc>
        <w:tc>
          <w:tcPr>
            <w:tcW w:w="436" w:type="dxa"/>
          </w:tcPr>
          <w:p>
            <w:pPr>
              <w:widowControl/>
              <w:jc w:val="center"/>
              <w:rPr>
                <w:rFonts w:ascii="宋体" w:hAnsi="宋体"/>
                <w:color w:val="000000"/>
                <w:sz w:val="22"/>
              </w:rPr>
            </w:pPr>
          </w:p>
        </w:tc>
        <w:tc>
          <w:tcPr>
            <w:tcW w:w="436" w:type="dxa"/>
          </w:tcPr>
          <w:p>
            <w:pPr>
              <w:widowControl/>
              <w:jc w:val="center"/>
              <w:rPr>
                <w:rFonts w:ascii="宋体" w:hAnsi="宋体"/>
                <w:color w:val="000000"/>
                <w:sz w:val="22"/>
              </w:rPr>
            </w:pPr>
          </w:p>
        </w:tc>
        <w:tc>
          <w:tcPr>
            <w:tcW w:w="436" w:type="dxa"/>
          </w:tcPr>
          <w:p>
            <w:pPr>
              <w:widowControl/>
              <w:jc w:val="center"/>
              <w:rPr>
                <w:rFonts w:ascii="宋体" w:hAnsi="宋体"/>
                <w:color w:val="000000"/>
                <w:sz w:val="22"/>
              </w:rPr>
            </w:pPr>
          </w:p>
        </w:tc>
        <w:tc>
          <w:tcPr>
            <w:tcW w:w="662" w:type="dxa"/>
            <w:vAlign w:val="center"/>
          </w:tcPr>
          <w:p>
            <w:pPr>
              <w:widowControl/>
              <w:jc w:val="center"/>
              <w:rPr>
                <w:rFonts w:ascii="宋体" w:hAnsi="宋体"/>
                <w:color w:val="000000"/>
                <w:sz w:val="22"/>
              </w:rPr>
            </w:pPr>
          </w:p>
        </w:tc>
        <w:tc>
          <w:tcPr>
            <w:tcW w:w="609" w:type="dxa"/>
            <w:vAlign w:val="center"/>
          </w:tcPr>
          <w:p>
            <w:pPr>
              <w:widowControl/>
              <w:jc w:val="center"/>
              <w:rPr>
                <w:rFonts w:ascii="宋体" w:hAnsi="宋体"/>
                <w:color w:val="000000"/>
                <w:sz w:val="22"/>
              </w:rPr>
            </w:pPr>
          </w:p>
        </w:tc>
        <w:tc>
          <w:tcPr>
            <w:tcW w:w="378" w:type="dxa"/>
            <w:vAlign w:val="center"/>
          </w:tcPr>
          <w:p>
            <w:pPr>
              <w:widowControl/>
              <w:jc w:val="center"/>
              <w:rPr>
                <w:rFonts w:ascii="宋体" w:hAnsi="宋体"/>
                <w:color w:val="000000"/>
                <w:sz w:val="22"/>
              </w:rPr>
            </w:pPr>
          </w:p>
        </w:tc>
        <w:tc>
          <w:tcPr>
            <w:tcW w:w="662" w:type="dxa"/>
            <w:vAlign w:val="center"/>
          </w:tcPr>
          <w:p>
            <w:pPr>
              <w:widowControl/>
              <w:jc w:val="center"/>
              <w:rPr>
                <w:rFonts w:ascii="宋体" w:hAnsi="宋体"/>
                <w:color w:val="000000"/>
                <w:sz w:val="22"/>
              </w:rPr>
            </w:pPr>
          </w:p>
        </w:tc>
        <w:tc>
          <w:tcPr>
            <w:tcW w:w="695" w:type="dxa"/>
            <w:vAlign w:val="center"/>
          </w:tcPr>
          <w:p>
            <w:pPr>
              <w:widowControl/>
              <w:jc w:val="center"/>
              <w:rPr>
                <w:rFonts w:ascii="宋体" w:hAnsi="宋体" w:cs="宋体"/>
                <w:b/>
                <w:bCs/>
                <w:color w:val="000000"/>
                <w:kern w:val="0"/>
                <w:sz w:val="22"/>
              </w:rPr>
            </w:pPr>
          </w:p>
        </w:tc>
        <w:tc>
          <w:tcPr>
            <w:tcW w:w="656" w:type="dxa"/>
            <w:vAlign w:val="center"/>
          </w:tcPr>
          <w:p>
            <w:pPr>
              <w:widowControl/>
              <w:jc w:val="center"/>
              <w:rPr>
                <w:rFonts w:ascii="宋体" w:hAnsi="宋体" w:cs="宋体"/>
                <w:b/>
                <w:bCs/>
                <w:color w:val="000000"/>
                <w:kern w:val="0"/>
                <w:sz w:val="22"/>
              </w:rPr>
            </w:pPr>
          </w:p>
        </w:tc>
        <w:tc>
          <w:tcPr>
            <w:tcW w:w="656" w:type="dxa"/>
            <w:vAlign w:val="center"/>
          </w:tcPr>
          <w:p>
            <w:pPr>
              <w:widowControl/>
              <w:jc w:val="center"/>
              <w:rPr>
                <w:rFonts w:ascii="宋体" w:hAnsi="宋体" w:cs="宋体"/>
                <w:b/>
                <w:bCs/>
                <w:color w:val="000000"/>
                <w:kern w:val="0"/>
                <w:sz w:val="22"/>
              </w:rPr>
            </w:pPr>
          </w:p>
        </w:tc>
        <w:tc>
          <w:tcPr>
            <w:tcW w:w="510" w:type="dxa"/>
            <w:vAlign w:val="center"/>
          </w:tcPr>
          <w:p>
            <w:pPr>
              <w:spacing w:line="360" w:lineRule="auto"/>
              <w:jc w:val="center"/>
              <w:rPr>
                <w:rFonts w:ascii="宋体" w:hAnsi="宋体"/>
                <w:color w:val="000000"/>
                <w:sz w:val="22"/>
              </w:rPr>
            </w:pPr>
          </w:p>
        </w:tc>
        <w:tc>
          <w:tcPr>
            <w:tcW w:w="508" w:type="dxa"/>
            <w:vAlign w:val="center"/>
          </w:tcPr>
          <w:p>
            <w:pPr>
              <w:spacing w:line="360" w:lineRule="auto"/>
              <w:rPr>
                <w:rFonts w:ascii="宋体" w:hAnsi="宋体"/>
                <w:color w:val="000000"/>
                <w:sz w:val="22"/>
              </w:rPr>
            </w:pPr>
          </w:p>
        </w:tc>
        <w:tc>
          <w:tcPr>
            <w:tcW w:w="659" w:type="dxa"/>
            <w:vAlign w:val="center"/>
          </w:tcPr>
          <w:p>
            <w:pPr>
              <w:spacing w:line="360" w:lineRule="auto"/>
              <w:jc w:val="center"/>
              <w:rPr>
                <w:rFonts w:ascii="宋体" w:hAnsi="宋体"/>
                <w:color w:val="000000"/>
                <w:sz w:val="22"/>
              </w:rPr>
            </w:pPr>
          </w:p>
        </w:tc>
        <w:tc>
          <w:tcPr>
            <w:tcW w:w="712" w:type="dxa"/>
            <w:vAlign w:val="center"/>
          </w:tcPr>
          <w:p>
            <w:pPr>
              <w:widowControl/>
              <w:jc w:val="center"/>
              <w:rPr>
                <w:rFonts w:ascii="宋体" w:hAnsi="宋体" w:cs="宋体"/>
                <w:b/>
                <w:bCs/>
                <w:color w:val="0000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460" w:type="dxa"/>
            <w:vAlign w:val="center"/>
          </w:tcPr>
          <w:p>
            <w:pPr>
              <w:spacing w:line="360" w:lineRule="auto"/>
              <w:jc w:val="center"/>
              <w:rPr>
                <w:rFonts w:ascii="宋体" w:hAnsi="宋体"/>
                <w:color w:val="000000"/>
                <w:sz w:val="22"/>
              </w:rPr>
            </w:pPr>
            <w:r>
              <w:rPr>
                <w:rFonts w:hint="eastAsia" w:ascii="宋体" w:hAnsi="宋体"/>
                <w:color w:val="000000"/>
                <w:sz w:val="22"/>
              </w:rPr>
              <w:t>2</w:t>
            </w:r>
          </w:p>
        </w:tc>
        <w:tc>
          <w:tcPr>
            <w:tcW w:w="471" w:type="dxa"/>
          </w:tcPr>
          <w:p>
            <w:pPr>
              <w:spacing w:line="360" w:lineRule="auto"/>
              <w:jc w:val="center"/>
              <w:rPr>
                <w:rFonts w:ascii="宋体" w:hAnsi="宋体"/>
                <w:color w:val="000000"/>
                <w:sz w:val="22"/>
              </w:rPr>
            </w:pPr>
          </w:p>
        </w:tc>
        <w:tc>
          <w:tcPr>
            <w:tcW w:w="471" w:type="dxa"/>
          </w:tcPr>
          <w:p>
            <w:pPr>
              <w:spacing w:line="360" w:lineRule="auto"/>
              <w:jc w:val="center"/>
              <w:rPr>
                <w:rFonts w:ascii="宋体" w:hAnsi="宋体"/>
                <w:color w:val="000000"/>
                <w:sz w:val="22"/>
              </w:rPr>
            </w:pPr>
          </w:p>
        </w:tc>
        <w:tc>
          <w:tcPr>
            <w:tcW w:w="471" w:type="dxa"/>
            <w:vAlign w:val="center"/>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662" w:type="dxa"/>
            <w:vAlign w:val="center"/>
          </w:tcPr>
          <w:p>
            <w:pPr>
              <w:spacing w:line="360" w:lineRule="auto"/>
              <w:jc w:val="center"/>
              <w:rPr>
                <w:rFonts w:ascii="宋体" w:hAnsi="宋体"/>
                <w:color w:val="000000"/>
                <w:sz w:val="22"/>
              </w:rPr>
            </w:pPr>
          </w:p>
        </w:tc>
        <w:tc>
          <w:tcPr>
            <w:tcW w:w="609" w:type="dxa"/>
          </w:tcPr>
          <w:p>
            <w:pPr>
              <w:spacing w:line="360" w:lineRule="auto"/>
              <w:jc w:val="center"/>
              <w:rPr>
                <w:rFonts w:ascii="宋体" w:hAnsi="宋体"/>
                <w:color w:val="000000"/>
                <w:sz w:val="22"/>
              </w:rPr>
            </w:pPr>
          </w:p>
        </w:tc>
        <w:tc>
          <w:tcPr>
            <w:tcW w:w="378" w:type="dxa"/>
          </w:tcPr>
          <w:p>
            <w:pPr>
              <w:spacing w:line="360" w:lineRule="auto"/>
              <w:jc w:val="center"/>
              <w:rPr>
                <w:rFonts w:ascii="宋体" w:hAnsi="宋体"/>
                <w:color w:val="000000"/>
                <w:sz w:val="22"/>
              </w:rPr>
            </w:pPr>
          </w:p>
        </w:tc>
        <w:tc>
          <w:tcPr>
            <w:tcW w:w="662" w:type="dxa"/>
            <w:vAlign w:val="center"/>
          </w:tcPr>
          <w:p>
            <w:pPr>
              <w:spacing w:line="360" w:lineRule="auto"/>
              <w:jc w:val="center"/>
              <w:rPr>
                <w:rFonts w:ascii="宋体" w:hAnsi="宋体"/>
                <w:color w:val="000000"/>
                <w:sz w:val="22"/>
              </w:rPr>
            </w:pPr>
          </w:p>
        </w:tc>
        <w:tc>
          <w:tcPr>
            <w:tcW w:w="695" w:type="dxa"/>
          </w:tcPr>
          <w:p>
            <w:pPr>
              <w:spacing w:line="360" w:lineRule="auto"/>
              <w:jc w:val="center"/>
              <w:rPr>
                <w:rFonts w:ascii="宋体" w:hAnsi="宋体"/>
                <w:color w:val="000000"/>
                <w:sz w:val="22"/>
              </w:rPr>
            </w:pPr>
          </w:p>
        </w:tc>
        <w:tc>
          <w:tcPr>
            <w:tcW w:w="656" w:type="dxa"/>
            <w:vAlign w:val="center"/>
          </w:tcPr>
          <w:p>
            <w:pPr>
              <w:spacing w:line="360" w:lineRule="auto"/>
              <w:jc w:val="center"/>
              <w:rPr>
                <w:rFonts w:ascii="宋体" w:hAnsi="宋体"/>
                <w:color w:val="000000"/>
                <w:sz w:val="22"/>
              </w:rPr>
            </w:pPr>
          </w:p>
        </w:tc>
        <w:tc>
          <w:tcPr>
            <w:tcW w:w="656" w:type="dxa"/>
          </w:tcPr>
          <w:p>
            <w:pPr>
              <w:spacing w:line="360" w:lineRule="auto"/>
              <w:jc w:val="center"/>
              <w:rPr>
                <w:rFonts w:ascii="宋体" w:hAnsi="宋体"/>
                <w:color w:val="000000"/>
                <w:sz w:val="22"/>
              </w:rPr>
            </w:pPr>
          </w:p>
        </w:tc>
        <w:tc>
          <w:tcPr>
            <w:tcW w:w="510" w:type="dxa"/>
            <w:vAlign w:val="center"/>
          </w:tcPr>
          <w:p>
            <w:pPr>
              <w:widowControl/>
              <w:jc w:val="center"/>
              <w:rPr>
                <w:rFonts w:ascii="宋体" w:hAnsi="宋体" w:cs="宋体"/>
                <w:b/>
                <w:bCs/>
                <w:color w:val="000000"/>
                <w:kern w:val="0"/>
                <w:sz w:val="22"/>
              </w:rPr>
            </w:pPr>
          </w:p>
        </w:tc>
        <w:tc>
          <w:tcPr>
            <w:tcW w:w="508" w:type="dxa"/>
            <w:vAlign w:val="center"/>
          </w:tcPr>
          <w:p>
            <w:pPr>
              <w:widowControl/>
              <w:jc w:val="center"/>
              <w:rPr>
                <w:rFonts w:ascii="宋体" w:hAnsi="宋体" w:cs="宋体"/>
                <w:b/>
                <w:bCs/>
                <w:color w:val="000000"/>
                <w:kern w:val="0"/>
                <w:sz w:val="22"/>
              </w:rPr>
            </w:pPr>
          </w:p>
        </w:tc>
        <w:tc>
          <w:tcPr>
            <w:tcW w:w="659" w:type="dxa"/>
          </w:tcPr>
          <w:p>
            <w:pPr>
              <w:spacing w:line="360" w:lineRule="auto"/>
              <w:jc w:val="center"/>
              <w:rPr>
                <w:rFonts w:ascii="宋体" w:hAnsi="宋体"/>
                <w:color w:val="000000"/>
                <w:sz w:val="22"/>
              </w:rPr>
            </w:pPr>
          </w:p>
        </w:tc>
        <w:tc>
          <w:tcPr>
            <w:tcW w:w="712" w:type="dxa"/>
            <w:vAlign w:val="center"/>
          </w:tcPr>
          <w:p>
            <w:pPr>
              <w:spacing w:line="360" w:lineRule="auto"/>
              <w:jc w:val="center"/>
              <w:rPr>
                <w:rFonts w:ascii="宋体" w:hAnsi="宋体"/>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460" w:type="dxa"/>
            <w:vAlign w:val="center"/>
          </w:tcPr>
          <w:p>
            <w:pPr>
              <w:spacing w:line="360" w:lineRule="auto"/>
              <w:jc w:val="center"/>
              <w:rPr>
                <w:rFonts w:ascii="宋体" w:hAnsi="宋体"/>
                <w:color w:val="000000"/>
                <w:sz w:val="22"/>
              </w:rPr>
            </w:pPr>
            <w:r>
              <w:rPr>
                <w:rFonts w:ascii="宋体" w:hAnsi="宋体"/>
                <w:color w:val="000000"/>
                <w:sz w:val="22"/>
              </w:rPr>
              <w:t>…</w:t>
            </w:r>
          </w:p>
        </w:tc>
        <w:tc>
          <w:tcPr>
            <w:tcW w:w="471" w:type="dxa"/>
          </w:tcPr>
          <w:p>
            <w:pPr>
              <w:spacing w:line="360" w:lineRule="auto"/>
              <w:jc w:val="center"/>
              <w:rPr>
                <w:rFonts w:ascii="宋体" w:hAnsi="宋体"/>
                <w:color w:val="000000"/>
                <w:sz w:val="22"/>
              </w:rPr>
            </w:pPr>
          </w:p>
        </w:tc>
        <w:tc>
          <w:tcPr>
            <w:tcW w:w="471" w:type="dxa"/>
          </w:tcPr>
          <w:p>
            <w:pPr>
              <w:spacing w:line="360" w:lineRule="auto"/>
              <w:jc w:val="center"/>
              <w:rPr>
                <w:rFonts w:ascii="宋体" w:hAnsi="宋体"/>
                <w:color w:val="000000"/>
                <w:sz w:val="22"/>
              </w:rPr>
            </w:pPr>
          </w:p>
        </w:tc>
        <w:tc>
          <w:tcPr>
            <w:tcW w:w="471" w:type="dxa"/>
            <w:vAlign w:val="center"/>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662" w:type="dxa"/>
            <w:vAlign w:val="center"/>
          </w:tcPr>
          <w:p>
            <w:pPr>
              <w:spacing w:line="360" w:lineRule="auto"/>
              <w:jc w:val="center"/>
              <w:rPr>
                <w:rFonts w:ascii="宋体" w:hAnsi="宋体"/>
                <w:color w:val="000000"/>
                <w:sz w:val="22"/>
              </w:rPr>
            </w:pPr>
          </w:p>
        </w:tc>
        <w:tc>
          <w:tcPr>
            <w:tcW w:w="609" w:type="dxa"/>
          </w:tcPr>
          <w:p>
            <w:pPr>
              <w:spacing w:line="360" w:lineRule="auto"/>
              <w:jc w:val="center"/>
              <w:rPr>
                <w:rFonts w:ascii="宋体" w:hAnsi="宋体"/>
                <w:color w:val="000000"/>
                <w:sz w:val="22"/>
              </w:rPr>
            </w:pPr>
          </w:p>
        </w:tc>
        <w:tc>
          <w:tcPr>
            <w:tcW w:w="378" w:type="dxa"/>
          </w:tcPr>
          <w:p>
            <w:pPr>
              <w:spacing w:line="360" w:lineRule="auto"/>
              <w:jc w:val="center"/>
              <w:rPr>
                <w:rFonts w:ascii="宋体" w:hAnsi="宋体"/>
                <w:color w:val="000000"/>
                <w:sz w:val="22"/>
              </w:rPr>
            </w:pPr>
          </w:p>
        </w:tc>
        <w:tc>
          <w:tcPr>
            <w:tcW w:w="662" w:type="dxa"/>
            <w:vAlign w:val="center"/>
          </w:tcPr>
          <w:p>
            <w:pPr>
              <w:spacing w:line="360" w:lineRule="auto"/>
              <w:jc w:val="center"/>
              <w:rPr>
                <w:rFonts w:ascii="宋体" w:hAnsi="宋体"/>
                <w:color w:val="000000"/>
                <w:sz w:val="22"/>
              </w:rPr>
            </w:pPr>
          </w:p>
        </w:tc>
        <w:tc>
          <w:tcPr>
            <w:tcW w:w="695" w:type="dxa"/>
          </w:tcPr>
          <w:p>
            <w:pPr>
              <w:spacing w:line="360" w:lineRule="auto"/>
              <w:jc w:val="center"/>
              <w:rPr>
                <w:rFonts w:ascii="宋体" w:hAnsi="宋体"/>
                <w:color w:val="000000"/>
                <w:sz w:val="22"/>
              </w:rPr>
            </w:pPr>
          </w:p>
        </w:tc>
        <w:tc>
          <w:tcPr>
            <w:tcW w:w="656" w:type="dxa"/>
            <w:vAlign w:val="center"/>
          </w:tcPr>
          <w:p>
            <w:pPr>
              <w:spacing w:line="360" w:lineRule="auto"/>
              <w:jc w:val="center"/>
              <w:rPr>
                <w:rFonts w:ascii="宋体" w:hAnsi="宋体"/>
                <w:color w:val="000000"/>
                <w:sz w:val="22"/>
              </w:rPr>
            </w:pPr>
          </w:p>
        </w:tc>
        <w:tc>
          <w:tcPr>
            <w:tcW w:w="656" w:type="dxa"/>
          </w:tcPr>
          <w:p>
            <w:pPr>
              <w:spacing w:line="360" w:lineRule="auto"/>
              <w:jc w:val="center"/>
              <w:rPr>
                <w:rFonts w:ascii="宋体" w:hAnsi="宋体"/>
                <w:color w:val="000000"/>
                <w:sz w:val="22"/>
              </w:rPr>
            </w:pPr>
          </w:p>
        </w:tc>
        <w:tc>
          <w:tcPr>
            <w:tcW w:w="510" w:type="dxa"/>
            <w:vAlign w:val="center"/>
          </w:tcPr>
          <w:p>
            <w:pPr>
              <w:spacing w:line="360" w:lineRule="auto"/>
              <w:jc w:val="center"/>
              <w:rPr>
                <w:rFonts w:ascii="宋体" w:hAnsi="宋体"/>
                <w:color w:val="000000"/>
                <w:sz w:val="22"/>
              </w:rPr>
            </w:pPr>
          </w:p>
        </w:tc>
        <w:tc>
          <w:tcPr>
            <w:tcW w:w="508" w:type="dxa"/>
            <w:vAlign w:val="center"/>
          </w:tcPr>
          <w:p>
            <w:pPr>
              <w:spacing w:line="360" w:lineRule="auto"/>
              <w:jc w:val="center"/>
              <w:rPr>
                <w:rFonts w:ascii="宋体" w:hAnsi="宋体"/>
                <w:color w:val="000000"/>
                <w:sz w:val="22"/>
              </w:rPr>
            </w:pPr>
          </w:p>
        </w:tc>
        <w:tc>
          <w:tcPr>
            <w:tcW w:w="659" w:type="dxa"/>
          </w:tcPr>
          <w:p>
            <w:pPr>
              <w:spacing w:line="360" w:lineRule="auto"/>
              <w:jc w:val="center"/>
              <w:rPr>
                <w:rFonts w:ascii="宋体" w:hAnsi="宋体"/>
                <w:color w:val="000000"/>
                <w:sz w:val="22"/>
              </w:rPr>
            </w:pPr>
          </w:p>
        </w:tc>
        <w:tc>
          <w:tcPr>
            <w:tcW w:w="712" w:type="dxa"/>
            <w:vAlign w:val="center"/>
          </w:tcPr>
          <w:p>
            <w:pPr>
              <w:spacing w:line="360" w:lineRule="auto"/>
              <w:jc w:val="center"/>
              <w:rPr>
                <w:rFonts w:ascii="宋体" w:hAnsi="宋体"/>
                <w:color w:val="000000"/>
                <w:sz w:val="22"/>
              </w:rPr>
            </w:pPr>
          </w:p>
        </w:tc>
      </w:tr>
    </w:tbl>
    <w:p>
      <w:pPr>
        <w:widowControl/>
        <w:wordWrap w:val="0"/>
        <w:spacing w:line="193" w:lineRule="atLeast"/>
        <w:rPr>
          <w:rFonts w:ascii="宋体" w:hAnsi="宋体" w:eastAsia="宋体" w:cs="宋体"/>
          <w:kern w:val="0"/>
          <w:szCs w:val="21"/>
        </w:rPr>
      </w:pPr>
    </w:p>
    <w:p>
      <w:pPr>
        <w:widowControl/>
        <w:wordWrap w:val="0"/>
        <w:spacing w:line="193" w:lineRule="atLeast"/>
        <w:rPr>
          <w:rFonts w:ascii="Calibri" w:hAnsi="Calibri" w:eastAsia="微软雅黑" w:cs="宋体"/>
          <w:kern w:val="0"/>
          <w:szCs w:val="21"/>
        </w:rPr>
      </w:pPr>
      <w:r>
        <w:rPr>
          <w:rFonts w:hint="eastAsia" w:ascii="宋体" w:hAnsi="宋体" w:eastAsia="宋体" w:cs="宋体"/>
          <w:kern w:val="0"/>
          <w:szCs w:val="21"/>
        </w:rPr>
        <w:t>四、医院将本着公开、公正、合理的原则给各供应商提供公平竞争的机会，各供应商不得提供虚假材料或者诽谤排挤其他供应商。严禁采用不正当方法了解采购信息或挤压当事人，或与采购人员以及供应商相互之间不负责任的串通消息。在整个过程中不允许对院内任何部门任何人许愿条件。</w:t>
      </w:r>
    </w:p>
    <w:p>
      <w:pPr>
        <w:widowControl/>
        <w:wordWrap w:val="0"/>
        <w:spacing w:line="193" w:lineRule="atLeast"/>
        <w:rPr>
          <w:rFonts w:ascii="Calibri" w:hAnsi="Calibri" w:eastAsia="微软雅黑" w:cs="宋体"/>
          <w:kern w:val="0"/>
          <w:szCs w:val="21"/>
        </w:rPr>
      </w:pPr>
      <w:r>
        <w:rPr>
          <w:rFonts w:hint="eastAsia" w:ascii="宋体" w:hAnsi="宋体" w:eastAsia="宋体" w:cs="宋体"/>
          <w:kern w:val="0"/>
          <w:szCs w:val="21"/>
        </w:rPr>
        <w:t>五、资料准备：公司（企业）营业执照、生产（经营）许可证、厂商授权书、法人代表授权书、医疗器械产品注册证、上海市收费信息、报价单、产品质量保证书，提供”信用中国”查询结果截图及其他一切有效证书的复印件，加盖公司公章。所有资料必须以档案袋密封,</w:t>
      </w:r>
      <w:r>
        <w:rPr>
          <w:rFonts w:hint="eastAsia" w:ascii="宋体" w:hAnsi="宋体" w:eastAsia="宋体" w:cs="宋体"/>
          <w:kern w:val="0"/>
          <w:sz w:val="23"/>
          <w:szCs w:val="23"/>
          <w:shd w:val="clear" w:color="auto" w:fill="FFFFFF"/>
        </w:rPr>
        <w:t>密封处加盖公司骑缝公章</w:t>
      </w:r>
      <w:r>
        <w:rPr>
          <w:rFonts w:hint="eastAsia" w:ascii="宋体" w:hAnsi="宋体" w:eastAsia="宋体" w:cs="宋体"/>
          <w:kern w:val="0"/>
          <w:szCs w:val="21"/>
        </w:rPr>
        <w:t>,且</w:t>
      </w:r>
      <w:r>
        <w:rPr>
          <w:rFonts w:hint="eastAsia" w:ascii="宋体" w:hAnsi="宋体" w:eastAsia="宋体" w:cs="宋体"/>
          <w:kern w:val="0"/>
          <w:sz w:val="23"/>
          <w:szCs w:val="23"/>
          <w:shd w:val="clear" w:color="auto" w:fill="FFFFFF"/>
        </w:rPr>
        <w:t>非格式报价单、开口报价单均无效</w:t>
      </w:r>
      <w:r>
        <w:rPr>
          <w:rFonts w:ascii="Tahoma" w:hAnsi="Tahoma" w:eastAsia="微软雅黑" w:cs="Tahoma"/>
          <w:kern w:val="0"/>
          <w:sz w:val="23"/>
          <w:szCs w:val="23"/>
          <w:shd w:val="clear" w:color="auto" w:fill="FFFFFF"/>
        </w:rPr>
        <w:t>,</w:t>
      </w:r>
      <w:r>
        <w:rPr>
          <w:rFonts w:hint="eastAsia" w:ascii="宋体" w:hAnsi="宋体" w:eastAsia="宋体" w:cs="宋体"/>
          <w:kern w:val="0"/>
          <w:sz w:val="23"/>
          <w:szCs w:val="23"/>
          <w:shd w:val="clear" w:color="auto" w:fill="FFFFFF"/>
        </w:rPr>
        <w:t>不符合以上要求的资料一律作为无效资料处理</w:t>
      </w:r>
      <w:r>
        <w:rPr>
          <w:rFonts w:ascii="Tahoma" w:hAnsi="Tahoma" w:eastAsia="微软雅黑" w:cs="Tahoma"/>
          <w:kern w:val="0"/>
          <w:sz w:val="23"/>
          <w:szCs w:val="23"/>
          <w:shd w:val="clear" w:color="auto" w:fill="FFFFFF"/>
        </w:rPr>
        <w:t>,</w:t>
      </w:r>
      <w:r>
        <w:rPr>
          <w:rFonts w:hint="eastAsia" w:ascii="宋体" w:hAnsi="宋体" w:eastAsia="宋体" w:cs="宋体"/>
          <w:kern w:val="0"/>
          <w:sz w:val="23"/>
          <w:szCs w:val="23"/>
          <w:shd w:val="clear" w:color="auto" w:fill="FFFFFF"/>
        </w:rPr>
        <w:t>不具备遴选资格</w:t>
      </w:r>
      <w:r>
        <w:rPr>
          <w:rFonts w:hint="eastAsia" w:ascii="宋体" w:hAnsi="宋体" w:eastAsia="宋体" w:cs="宋体"/>
          <w:kern w:val="0"/>
          <w:szCs w:val="21"/>
        </w:rPr>
        <w:t>。</w:t>
      </w:r>
    </w:p>
    <w:p>
      <w:pPr>
        <w:widowControl/>
        <w:wordWrap w:val="0"/>
        <w:spacing w:line="193" w:lineRule="atLeast"/>
        <w:rPr>
          <w:rFonts w:ascii="Calibri" w:hAnsi="Calibri" w:eastAsia="微软雅黑" w:cs="宋体"/>
          <w:kern w:val="0"/>
          <w:szCs w:val="21"/>
        </w:rPr>
      </w:pPr>
      <w:r>
        <w:rPr>
          <w:rFonts w:hint="eastAsia" w:ascii="宋体" w:hAnsi="宋体" w:eastAsia="宋体" w:cs="宋体"/>
          <w:kern w:val="0"/>
          <w:szCs w:val="21"/>
        </w:rPr>
        <w:t>六、供应期限：遴选最终确定的产品，供应产品质量及服务达到要求的，供应期限为36个月。</w:t>
      </w:r>
    </w:p>
    <w:p>
      <w:pPr>
        <w:widowControl/>
        <w:wordWrap w:val="0"/>
        <w:spacing w:line="193" w:lineRule="atLeast"/>
        <w:rPr>
          <w:rFonts w:ascii="Calibri" w:hAnsi="Calibri" w:eastAsia="微软雅黑" w:cs="宋体"/>
          <w:kern w:val="0"/>
          <w:szCs w:val="21"/>
        </w:rPr>
      </w:pPr>
      <w:r>
        <w:rPr>
          <w:rFonts w:hint="eastAsia" w:ascii="宋体" w:hAnsi="宋体" w:eastAsia="宋体" w:cs="宋体"/>
          <w:kern w:val="0"/>
          <w:szCs w:val="21"/>
        </w:rPr>
        <w:t>七、付款周期：对账日期后3个月。</w:t>
      </w:r>
    </w:p>
    <w:p>
      <w:pPr>
        <w:widowControl/>
        <w:wordWrap w:val="0"/>
        <w:spacing w:line="193" w:lineRule="atLeast"/>
        <w:rPr>
          <w:rFonts w:ascii="Calibri" w:hAnsi="Calibri" w:eastAsia="微软雅黑" w:cs="宋体"/>
          <w:kern w:val="0"/>
          <w:szCs w:val="21"/>
        </w:rPr>
      </w:pPr>
      <w:r>
        <w:rPr>
          <w:rFonts w:hint="eastAsia" w:ascii="宋体" w:hAnsi="宋体" w:eastAsia="宋体" w:cs="宋体"/>
          <w:kern w:val="0"/>
          <w:szCs w:val="21"/>
        </w:rPr>
        <w:t>八、特别备注：由于遴选试剂不能单独完成应用或检测要求的，或与甲方现有设备不相兼容的，经双方协商，乙方需提供完成检查检测的相关设备及附件。</w:t>
      </w:r>
    </w:p>
    <w:p>
      <w:pPr>
        <w:widowControl/>
        <w:wordWrap w:val="0"/>
        <w:spacing w:line="193" w:lineRule="atLeast"/>
        <w:rPr>
          <w:rFonts w:ascii="Calibri" w:hAnsi="Calibri" w:eastAsia="微软雅黑" w:cs="宋体"/>
          <w:kern w:val="0"/>
          <w:szCs w:val="21"/>
        </w:rPr>
      </w:pPr>
      <w:r>
        <w:rPr>
          <w:rFonts w:ascii="Calibri" w:hAnsi="Calibri" w:eastAsia="微软雅黑" w:cs="宋体"/>
          <w:kern w:val="0"/>
          <w:szCs w:val="21"/>
        </w:rPr>
        <w:t> </w:t>
      </w:r>
    </w:p>
    <w:p>
      <w:pPr>
        <w:widowControl/>
        <w:wordWrap w:val="0"/>
        <w:spacing w:line="193" w:lineRule="atLeast"/>
        <w:ind w:firstLine="482" w:firstLineChars="200"/>
        <w:rPr>
          <w:rFonts w:ascii="Calibri" w:hAnsi="Calibri" w:eastAsia="宋体" w:cs="宋体"/>
          <w:b/>
          <w:bCs/>
          <w:color w:val="333333"/>
          <w:kern w:val="0"/>
          <w:sz w:val="24"/>
          <w:szCs w:val="24"/>
        </w:rPr>
      </w:pPr>
      <w:r>
        <w:rPr>
          <w:rFonts w:hint="eastAsia" w:ascii="宋体" w:hAnsi="宋体" w:eastAsia="宋体" w:cs="宋体"/>
          <w:b/>
          <w:bCs/>
          <w:color w:val="000000"/>
          <w:kern w:val="0"/>
          <w:sz w:val="24"/>
          <w:szCs w:val="24"/>
        </w:rPr>
        <w:t>资料提交截止时间。</w:t>
      </w:r>
    </w:p>
    <w:p>
      <w:pPr>
        <w:widowControl/>
        <w:wordWrap w:val="0"/>
        <w:spacing w:line="193" w:lineRule="atLeast"/>
        <w:ind w:firstLine="480" w:firstLineChars="200"/>
        <w:rPr>
          <w:rFonts w:ascii="宋体" w:hAnsi="宋体" w:eastAsia="宋体" w:cs="宋体"/>
          <w:color w:val="FF0000"/>
          <w:kern w:val="0"/>
          <w:sz w:val="24"/>
          <w:szCs w:val="24"/>
        </w:rPr>
      </w:pPr>
      <w:r>
        <w:rPr>
          <w:rFonts w:hint="eastAsia" w:ascii="宋体" w:hAnsi="宋体" w:eastAsia="宋体" w:cs="宋体"/>
          <w:color w:val="000000"/>
          <w:kern w:val="0"/>
          <w:sz w:val="24"/>
          <w:szCs w:val="24"/>
        </w:rPr>
        <w:t>开标日期：</w:t>
      </w:r>
      <w:r>
        <w:rPr>
          <w:rFonts w:hint="eastAsia" w:ascii="宋体" w:hAnsi="宋体" w:eastAsia="宋体" w:cs="宋体"/>
          <w:color w:val="FF0000"/>
          <w:kern w:val="0"/>
          <w:sz w:val="24"/>
          <w:szCs w:val="24"/>
        </w:rPr>
        <w:t>2021年</w:t>
      </w:r>
      <w:r>
        <w:rPr>
          <w:rFonts w:hint="eastAsia" w:ascii="宋体" w:hAnsi="宋体" w:eastAsia="宋体" w:cs="宋体"/>
          <w:color w:val="FF0000"/>
          <w:kern w:val="0"/>
          <w:sz w:val="24"/>
          <w:szCs w:val="24"/>
          <w:lang w:val="en-US" w:eastAsia="zh-CN"/>
        </w:rPr>
        <w:t>6</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lang w:val="en-US" w:eastAsia="zh-CN"/>
        </w:rPr>
        <w:t>1</w:t>
      </w:r>
      <w:r>
        <w:rPr>
          <w:rFonts w:hint="eastAsia" w:ascii="宋体" w:hAnsi="宋体" w:eastAsia="宋体" w:cs="宋体"/>
          <w:color w:val="FF0000"/>
          <w:kern w:val="0"/>
          <w:sz w:val="24"/>
          <w:szCs w:val="24"/>
        </w:rPr>
        <w:t>日，北京时间：</w:t>
      </w:r>
      <w:r>
        <w:rPr>
          <w:rFonts w:hint="eastAsia" w:ascii="宋体" w:hAnsi="宋体" w:eastAsia="宋体" w:cs="宋体"/>
          <w:color w:val="FF0000"/>
          <w:kern w:val="0"/>
          <w:sz w:val="24"/>
          <w:szCs w:val="24"/>
          <w:lang w:val="en-US" w:eastAsia="zh-CN"/>
        </w:rPr>
        <w:t>10</w:t>
      </w:r>
      <w:r>
        <w:rPr>
          <w:rFonts w:hint="eastAsia" w:ascii="宋体" w:hAnsi="宋体" w:eastAsia="宋体" w:cs="宋体"/>
          <w:color w:val="FF0000"/>
          <w:kern w:val="0"/>
          <w:sz w:val="24"/>
          <w:szCs w:val="24"/>
        </w:rPr>
        <w:t>:00</w:t>
      </w:r>
    </w:p>
    <w:p>
      <w:pPr>
        <w:widowControl/>
        <w:wordWrap w:val="0"/>
        <w:spacing w:line="193" w:lineRule="atLeas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开标地点：上海市泸定路355号住院部503会议室</w:t>
      </w:r>
    </w:p>
    <w:p>
      <w:pPr>
        <w:widowControl/>
        <w:wordWrap w:val="0"/>
        <w:spacing w:line="193" w:lineRule="atLeast"/>
        <w:ind w:firstLine="480" w:firstLineChars="200"/>
        <w:rPr>
          <w:color w:val="FF0000"/>
          <w:sz w:val="24"/>
          <w:szCs w:val="24"/>
        </w:rPr>
      </w:pPr>
      <w:r>
        <w:rPr>
          <w:rFonts w:hint="eastAsia"/>
          <w:color w:val="FF0000"/>
          <w:sz w:val="24"/>
          <w:szCs w:val="24"/>
        </w:rPr>
        <w:t>★注意事项：</w:t>
      </w:r>
    </w:p>
    <w:p>
      <w:pPr>
        <w:widowControl/>
        <w:wordWrap w:val="0"/>
        <w:spacing w:line="193" w:lineRule="atLeast"/>
        <w:ind w:firstLine="240" w:firstLineChars="100"/>
        <w:rPr>
          <w:color w:val="FF0000"/>
          <w:sz w:val="24"/>
          <w:szCs w:val="24"/>
        </w:rPr>
      </w:pPr>
      <w:r>
        <w:rPr>
          <w:rFonts w:hint="eastAsia"/>
          <w:color w:val="FF0000"/>
          <w:sz w:val="24"/>
          <w:szCs w:val="24"/>
        </w:rPr>
        <w:t>（1）</w:t>
      </w:r>
      <w:r>
        <w:rPr>
          <w:rFonts w:ascii="宋体" w:hAnsi="宋体" w:eastAsia="宋体" w:cs="宋体"/>
          <w:color w:val="FF0000"/>
          <w:kern w:val="0"/>
          <w:sz w:val="24"/>
          <w:szCs w:val="24"/>
        </w:rPr>
        <w:t>遴选会</w:t>
      </w:r>
      <w:r>
        <w:rPr>
          <w:rFonts w:hint="eastAsia" w:ascii="宋体" w:hAnsi="宋体" w:eastAsia="宋体" w:cs="宋体"/>
          <w:color w:val="FF0000"/>
          <w:kern w:val="0"/>
          <w:sz w:val="24"/>
          <w:szCs w:val="24"/>
        </w:rPr>
        <w:t>网上</w:t>
      </w:r>
      <w:r>
        <w:rPr>
          <w:rFonts w:ascii="宋体" w:hAnsi="宋体" w:eastAsia="宋体" w:cs="宋体"/>
          <w:color w:val="FF0000"/>
          <w:kern w:val="0"/>
          <w:sz w:val="24"/>
          <w:szCs w:val="24"/>
        </w:rPr>
        <w:t>报名</w:t>
      </w:r>
      <w:r>
        <w:rPr>
          <w:rFonts w:hint="eastAsia" w:ascii="宋体" w:hAnsi="宋体" w:eastAsia="宋体" w:cs="宋体"/>
          <w:color w:val="FF0000"/>
          <w:kern w:val="0"/>
          <w:sz w:val="24"/>
          <w:szCs w:val="24"/>
        </w:rPr>
        <w:t>链接</w:t>
      </w:r>
      <w:r>
        <w:rPr>
          <w:rFonts w:ascii="宋体" w:hAnsi="宋体" w:eastAsia="宋体" w:cs="宋体"/>
          <w:color w:val="FF0000"/>
          <w:kern w:val="0"/>
          <w:sz w:val="24"/>
          <w:szCs w:val="24"/>
        </w:rPr>
        <w:t>：</w:t>
      </w:r>
      <w:r>
        <w:rPr>
          <w:rFonts w:hint="eastAsia"/>
          <w:color w:val="FF0000"/>
          <w:sz w:val="24"/>
          <w:szCs w:val="24"/>
          <w:u w:val="single"/>
        </w:rPr>
        <w:t>https://www.wjx.cn/vj/hVlAcQK.aspx</w:t>
      </w:r>
      <w:r>
        <w:rPr>
          <w:rFonts w:hint="eastAsia"/>
          <w:color w:val="FF0000"/>
          <w:sz w:val="24"/>
          <w:szCs w:val="24"/>
        </w:rPr>
        <w:t>，请于开标</w:t>
      </w:r>
      <w:r>
        <w:rPr>
          <w:rFonts w:hint="eastAsia"/>
          <w:color w:val="FF0000"/>
          <w:sz w:val="24"/>
          <w:szCs w:val="24"/>
          <w:lang w:val="en-US" w:eastAsia="zh-CN"/>
        </w:rPr>
        <w:t>前</w:t>
      </w:r>
      <w:r>
        <w:rPr>
          <w:rFonts w:hint="eastAsia"/>
          <w:color w:val="FF0000"/>
          <w:sz w:val="24"/>
          <w:szCs w:val="24"/>
        </w:rPr>
        <w:t>一工作日17:00时前提交。</w:t>
      </w:r>
    </w:p>
    <w:p>
      <w:pPr>
        <w:widowControl/>
        <w:wordWrap w:val="0"/>
        <w:spacing w:line="193" w:lineRule="atLeast"/>
        <w:ind w:firstLine="240" w:firstLineChars="100"/>
        <w:rPr>
          <w:color w:val="FF0000"/>
          <w:sz w:val="24"/>
          <w:szCs w:val="24"/>
        </w:rPr>
      </w:pPr>
      <w:r>
        <w:rPr>
          <w:rFonts w:hint="eastAsia"/>
          <w:color w:val="FF0000"/>
          <w:sz w:val="24"/>
          <w:szCs w:val="24"/>
        </w:rPr>
        <w:t xml:space="preserve">（2）投标方代表严格遵守开标纪律，务必于开标前10分钟携带遴选文件到达会场，遴选文件必须排版胶装并以档案袋密封,密封处加盖公司骑缝公章,非格式报价单、开口报价单均无效,不符合以上要求均视为无效投标,不具备遴选资格。 </w:t>
      </w:r>
    </w:p>
    <w:p>
      <w:pPr>
        <w:widowControl/>
        <w:wordWrap w:val="0"/>
        <w:spacing w:line="193" w:lineRule="atLeast"/>
        <w:ind w:firstLine="240" w:firstLineChars="100"/>
        <w:rPr>
          <w:color w:val="FF0000"/>
          <w:sz w:val="24"/>
          <w:szCs w:val="24"/>
        </w:rPr>
      </w:pPr>
      <w:r>
        <w:rPr>
          <w:rFonts w:hint="eastAsia"/>
          <w:color w:val="FF0000"/>
          <w:sz w:val="24"/>
          <w:szCs w:val="24"/>
        </w:rPr>
        <w:t>（3）遴选响应文件的份数：纸质正本1份，电子版1份（1.全套投标文件正本（加盖公章） ：PDF格式扫描件；2. 遴选采购报价表、技术偏离表：excel版本，电子版请于开标后发送至邮箱</w:t>
      </w:r>
      <w:r>
        <w:fldChar w:fldCharType="begin"/>
      </w:r>
      <w:r>
        <w:instrText xml:space="preserve"> HYPERLINK "mailto:xuml@shchildren.com.cn" </w:instrText>
      </w:r>
      <w:r>
        <w:fldChar w:fldCharType="separate"/>
      </w:r>
      <w:r>
        <w:rPr>
          <w:rFonts w:hint="eastAsia"/>
          <w:color w:val="FF0000"/>
          <w:sz w:val="24"/>
          <w:szCs w:val="24"/>
        </w:rPr>
        <w:t>zhenglin@shchildren.com.cn</w:t>
      </w:r>
      <w:r>
        <w:rPr>
          <w:rFonts w:hint="eastAsia"/>
          <w:color w:val="FF0000"/>
          <w:sz w:val="24"/>
          <w:szCs w:val="24"/>
        </w:rPr>
        <w:fldChar w:fldCharType="end"/>
      </w:r>
      <w:r>
        <w:rPr>
          <w:rFonts w:hint="eastAsia"/>
          <w:color w:val="FF0000"/>
          <w:sz w:val="24"/>
          <w:szCs w:val="24"/>
        </w:rPr>
        <w:t>）。</w:t>
      </w:r>
    </w:p>
    <w:p>
      <w:pPr>
        <w:widowControl/>
        <w:wordWrap w:val="0"/>
        <w:spacing w:line="193" w:lineRule="atLeast"/>
        <w:rPr>
          <w:color w:val="FF0000"/>
        </w:rPr>
      </w:pPr>
    </w:p>
    <w:p>
      <w:pPr>
        <w:widowControl/>
        <w:wordWrap w:val="0"/>
        <w:spacing w:line="193" w:lineRule="atLeast"/>
        <w:rPr>
          <w:rFonts w:ascii="Calibri" w:hAnsi="Calibri" w:eastAsia="微软雅黑" w:cs="宋体"/>
          <w:color w:val="333333"/>
          <w:kern w:val="0"/>
          <w:sz w:val="24"/>
          <w:szCs w:val="24"/>
        </w:rPr>
      </w:pPr>
      <w:r>
        <w:rPr>
          <w:rFonts w:hint="eastAsia" w:ascii="宋体" w:hAnsi="宋体" w:eastAsia="宋体" w:cs="宋体"/>
          <w:b/>
          <w:bCs/>
          <w:color w:val="000000"/>
          <w:kern w:val="0"/>
          <w:sz w:val="24"/>
          <w:szCs w:val="24"/>
        </w:rPr>
        <w:t>联系地址</w:t>
      </w:r>
    </w:p>
    <w:p>
      <w:pPr>
        <w:widowControl/>
        <w:wordWrap w:val="0"/>
        <w:spacing w:line="193" w:lineRule="atLeast"/>
        <w:rPr>
          <w:rFonts w:ascii="Calibri" w:hAnsi="Calibri" w:eastAsia="微软雅黑" w:cs="宋体"/>
          <w:color w:val="333333"/>
          <w:kern w:val="0"/>
          <w:sz w:val="24"/>
          <w:szCs w:val="24"/>
        </w:rPr>
      </w:pPr>
      <w:r>
        <w:rPr>
          <w:rFonts w:hint="eastAsia" w:ascii="宋体" w:hAnsi="宋体" w:eastAsia="宋体" w:cs="宋体"/>
          <w:color w:val="000000"/>
          <w:kern w:val="0"/>
          <w:sz w:val="24"/>
          <w:szCs w:val="24"/>
        </w:rPr>
        <w:t>上海市泸定路355号上海市儿童医院 门诊一楼</w:t>
      </w:r>
    </w:p>
    <w:p>
      <w:pPr>
        <w:widowControl/>
        <w:wordWrap w:val="0"/>
        <w:spacing w:line="193" w:lineRule="atLeast"/>
        <w:rPr>
          <w:rFonts w:ascii="Calibri" w:hAnsi="Calibri" w:eastAsia="微软雅黑" w:cs="宋体"/>
          <w:color w:val="333333"/>
          <w:kern w:val="0"/>
          <w:sz w:val="24"/>
          <w:szCs w:val="24"/>
        </w:rPr>
      </w:pPr>
      <w:r>
        <w:rPr>
          <w:rFonts w:hint="eastAsia" w:ascii="宋体" w:hAnsi="宋体" w:eastAsia="宋体" w:cs="宋体"/>
          <w:color w:val="000000"/>
          <w:kern w:val="0"/>
          <w:sz w:val="24"/>
          <w:szCs w:val="24"/>
        </w:rPr>
        <w:t>联系人：文志林、郑霖</w:t>
      </w:r>
    </w:p>
    <w:p>
      <w:pPr>
        <w:widowControl/>
        <w:wordWrap w:val="0"/>
        <w:spacing w:line="193"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联系电话：021-52974032</w:t>
      </w:r>
    </w:p>
    <w:p>
      <w:pPr>
        <w:widowControl/>
        <w:wordWrap w:val="0"/>
        <w:spacing w:line="193" w:lineRule="atLeast"/>
        <w:rPr>
          <w:rFonts w:ascii="Calibri" w:hAnsi="Calibri" w:eastAsia="微软雅黑" w:cs="宋体"/>
          <w:color w:val="333333"/>
          <w:kern w:val="0"/>
          <w:sz w:val="24"/>
          <w:szCs w:val="24"/>
        </w:rPr>
      </w:pPr>
      <w:r>
        <w:rPr>
          <w:rFonts w:hint="eastAsia" w:ascii="宋体" w:hAnsi="宋体" w:eastAsia="宋体" w:cs="宋体"/>
          <w:color w:val="000000"/>
          <w:kern w:val="0"/>
          <w:sz w:val="24"/>
          <w:szCs w:val="24"/>
        </w:rPr>
        <w:t>上海市儿童医院采购中心</w:t>
      </w:r>
    </w:p>
    <w:p>
      <w:pPr>
        <w:widowControl/>
        <w:wordWrap w:val="0"/>
        <w:spacing w:line="193" w:lineRule="atLeast"/>
        <w:rPr>
          <w:rFonts w:ascii="Calibri" w:hAnsi="Calibri" w:eastAsia="微软雅黑" w:cs="宋体"/>
          <w:color w:val="333333"/>
          <w:kern w:val="0"/>
          <w:sz w:val="24"/>
          <w:szCs w:val="24"/>
        </w:rPr>
      </w:pPr>
      <w:r>
        <w:rPr>
          <w:rFonts w:hint="eastAsia" w:ascii="宋体" w:hAnsi="宋体" w:eastAsia="宋体" w:cs="宋体"/>
          <w:color w:val="000000"/>
          <w:kern w:val="0"/>
          <w:sz w:val="24"/>
          <w:szCs w:val="24"/>
        </w:rPr>
        <w:t>2021年5月</w:t>
      </w:r>
      <w:r>
        <w:rPr>
          <w:rFonts w:hint="eastAsia" w:ascii="宋体" w:hAnsi="宋体" w:eastAsia="宋体" w:cs="宋体"/>
          <w:color w:val="000000"/>
          <w:kern w:val="0"/>
          <w:sz w:val="24"/>
          <w:szCs w:val="24"/>
          <w:lang w:val="en-US" w:eastAsia="zh-CN"/>
        </w:rPr>
        <w:t>25</w:t>
      </w:r>
      <w:r>
        <w:rPr>
          <w:rFonts w:hint="eastAsia" w:ascii="宋体" w:hAnsi="宋体" w:eastAsia="宋体" w:cs="宋体"/>
          <w:color w:val="000000"/>
          <w:kern w:val="0"/>
          <w:sz w:val="24"/>
          <w:szCs w:val="24"/>
        </w:rPr>
        <w:t>日</w:t>
      </w:r>
    </w:p>
    <w:p/>
    <w:p>
      <w:pPr>
        <w:rPr>
          <w:rFonts w:hint="eastAsia" w:ascii="宋体" w:hAnsi="宋体" w:eastAsia="宋体" w:cs="宋体"/>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41287"/>
    <w:rsid w:val="1C141287"/>
    <w:rsid w:val="28517B98"/>
    <w:rsid w:val="2E8C1145"/>
    <w:rsid w:val="741F1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2021-05-25T06:14:00Z</dcterms:created>
  <dc:creator>user</dc:creator>
  <cp:lastModifiedBy>user</cp:lastModifiedBy>
  <dcterms:modified xsi:type="dcterms:W3CDTF">2021-05-25T06:25:59Z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