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504" w:lineRule="atLeast"/>
        <w:jc w:val="center"/>
        <w:outlineLvl w:val="0"/>
        <w:rPr>
          <w:rFonts w:hint="eastAsia" w:ascii="inherit" w:hAnsi="inherit" w:eastAsia="微软雅黑" w:cs="宋体"/>
          <w:kern w:val="36"/>
          <w:sz w:val="28"/>
          <w:szCs w:val="28"/>
        </w:rPr>
      </w:pPr>
      <w:r>
        <w:rPr>
          <w:rFonts w:ascii="inherit" w:hAnsi="inherit" w:eastAsia="微软雅黑" w:cs="宋体"/>
          <w:kern w:val="36"/>
          <w:sz w:val="28"/>
          <w:szCs w:val="28"/>
        </w:rPr>
        <w:t>上海市儿童医院</w:t>
      </w:r>
      <w:r>
        <w:rPr>
          <w:rFonts w:hint="eastAsia" w:ascii="inherit" w:hAnsi="inherit" w:eastAsia="微软雅黑" w:cs="宋体"/>
          <w:kern w:val="36"/>
          <w:sz w:val="28"/>
          <w:szCs w:val="28"/>
        </w:rPr>
        <w:t>“地中海贫血基因检测（PCR反向点杂交）”</w:t>
      </w:r>
    </w:p>
    <w:p>
      <w:pPr>
        <w:widowControl/>
        <w:wordWrap w:val="0"/>
        <w:spacing w:line="504" w:lineRule="atLeast"/>
        <w:jc w:val="center"/>
        <w:outlineLvl w:val="0"/>
        <w:rPr>
          <w:rFonts w:hint="eastAsia" w:ascii="inherit" w:hAnsi="inherit" w:eastAsia="微软雅黑" w:cs="宋体"/>
          <w:kern w:val="36"/>
          <w:sz w:val="28"/>
          <w:szCs w:val="28"/>
        </w:rPr>
      </w:pPr>
      <w:r>
        <w:rPr>
          <w:rFonts w:hint="eastAsia" w:ascii="inherit" w:hAnsi="inherit" w:eastAsia="微软雅黑" w:cs="宋体"/>
          <w:kern w:val="36"/>
          <w:sz w:val="28"/>
          <w:szCs w:val="28"/>
        </w:rPr>
        <w:t>试剂</w:t>
      </w:r>
      <w:r>
        <w:rPr>
          <w:rFonts w:ascii="inherit" w:hAnsi="inherit" w:eastAsia="微软雅黑" w:cs="宋体"/>
          <w:kern w:val="36"/>
          <w:sz w:val="28"/>
          <w:szCs w:val="28"/>
        </w:rPr>
        <w:t>供应商遴选</w:t>
      </w:r>
      <w:r>
        <w:rPr>
          <w:rFonts w:hint="eastAsia" w:ascii="inherit" w:hAnsi="inherit" w:eastAsia="微软雅黑" w:cs="宋体"/>
          <w:kern w:val="36"/>
          <w:sz w:val="28"/>
          <w:szCs w:val="28"/>
        </w:rPr>
        <w:t>文件</w:t>
      </w:r>
    </w:p>
    <w:p>
      <w:pPr>
        <w:widowControl/>
        <w:spacing w:line="504" w:lineRule="atLeast"/>
        <w:jc w:val="center"/>
        <w:outlineLvl w:val="0"/>
        <w:rPr>
          <w:rFonts w:hint="eastAsia" w:ascii="inherit" w:hAnsi="inherit" w:eastAsia="微软雅黑" w:cs="宋体"/>
          <w:kern w:val="36"/>
          <w:sz w:val="28"/>
          <w:szCs w:val="28"/>
        </w:rPr>
      </w:pPr>
      <w:r>
        <w:rPr>
          <w:rFonts w:hint="eastAsia" w:ascii="inherit" w:hAnsi="inherit" w:eastAsia="微软雅黑" w:cs="宋体"/>
          <w:kern w:val="36"/>
          <w:sz w:val="28"/>
          <w:szCs w:val="28"/>
        </w:rPr>
        <w:t>遴选编号：2021-ETLXSJ-003</w:t>
      </w:r>
    </w:p>
    <w:p>
      <w:pPr>
        <w:widowControl/>
        <w:spacing w:before="168" w:after="168"/>
        <w:ind w:firstLine="480" w:firstLineChars="200"/>
        <w:jc w:val="left"/>
        <w:rPr>
          <w:rFonts w:ascii="宋体" w:hAnsi="宋体" w:eastAsia="宋体" w:cs="宋体"/>
          <w:kern w:val="0"/>
          <w:sz w:val="24"/>
          <w:szCs w:val="24"/>
        </w:rPr>
      </w:pPr>
      <w:r>
        <w:rPr>
          <w:rFonts w:ascii="宋体" w:hAnsi="宋体" w:eastAsia="宋体" w:cs="宋体"/>
          <w:color w:val="000000"/>
          <w:kern w:val="0"/>
          <w:sz w:val="24"/>
          <w:szCs w:val="24"/>
        </w:rPr>
        <w:t>上海市儿童医院</w:t>
      </w:r>
      <w:r>
        <w:rPr>
          <w:rFonts w:hint="eastAsia" w:ascii="宋体" w:hAnsi="宋体" w:eastAsia="宋体" w:cs="宋体"/>
          <w:color w:val="000000"/>
          <w:kern w:val="0"/>
          <w:sz w:val="24"/>
          <w:szCs w:val="24"/>
        </w:rPr>
        <w:t>“地中海贫血基因检测</w:t>
      </w:r>
      <w:r>
        <w:rPr>
          <w:rFonts w:hint="eastAsia" w:ascii="宋体" w:hAnsi="宋体" w:eastAsia="宋体" w:cs="宋体"/>
          <w:kern w:val="0"/>
          <w:sz w:val="24"/>
          <w:szCs w:val="24"/>
        </w:rPr>
        <w:t>（</w:t>
      </w:r>
      <w:r>
        <w:rPr>
          <w:rFonts w:ascii="宋体" w:hAnsi="宋体" w:eastAsia="宋体" w:cs="宋体"/>
          <w:color w:val="000000"/>
          <w:kern w:val="0"/>
          <w:sz w:val="24"/>
          <w:szCs w:val="24"/>
        </w:rPr>
        <w:t>PCR反向点杂交</w:t>
      </w:r>
      <w:r>
        <w:rPr>
          <w:rFonts w:hint="eastAsia" w:ascii="宋体" w:hAnsi="宋体" w:eastAsia="宋体" w:cs="宋体"/>
          <w:kern w:val="0"/>
          <w:sz w:val="24"/>
          <w:szCs w:val="24"/>
        </w:rPr>
        <w:t>）</w:t>
      </w:r>
      <w:r>
        <w:rPr>
          <w:rFonts w:hint="eastAsia" w:ascii="宋体" w:hAnsi="宋体" w:eastAsia="宋体" w:cs="宋体"/>
          <w:color w:val="000000"/>
          <w:kern w:val="0"/>
          <w:sz w:val="24"/>
          <w:szCs w:val="24"/>
        </w:rPr>
        <w:t>”试剂公开征询供应商，欢迎</w:t>
      </w:r>
      <w:r>
        <w:rPr>
          <w:rFonts w:hint="eastAsia" w:ascii="宋体" w:hAnsi="宋体" w:eastAsia="宋体" w:cs="宋体"/>
          <w:kern w:val="0"/>
          <w:sz w:val="24"/>
          <w:szCs w:val="24"/>
        </w:rPr>
        <w:t>合格供应商前来参加遴选。届时我们将选出合适的产品供应商作为新供应商进行日常采购。</w:t>
      </w:r>
    </w:p>
    <w:p>
      <w:pPr>
        <w:widowControl/>
        <w:wordWrap w:val="0"/>
        <w:spacing w:line="193"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一、适用情况：用于临床、检验、病理、筛查等医用试剂。</w:t>
      </w:r>
    </w:p>
    <w:p>
      <w:pPr>
        <w:widowControl/>
        <w:wordWrap w:val="0"/>
        <w:spacing w:line="193"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二、项目名称：地中海贫血基因检测</w:t>
      </w:r>
      <w:r>
        <w:rPr>
          <w:rFonts w:hint="eastAsia" w:ascii="宋体" w:hAnsi="宋体" w:eastAsia="宋体" w:cs="宋体"/>
          <w:kern w:val="0"/>
          <w:sz w:val="24"/>
          <w:szCs w:val="24"/>
        </w:rPr>
        <w:t>（</w:t>
      </w:r>
      <w:r>
        <w:rPr>
          <w:rFonts w:ascii="宋体" w:hAnsi="宋体" w:eastAsia="宋体" w:cs="宋体"/>
          <w:color w:val="000000"/>
          <w:kern w:val="0"/>
          <w:sz w:val="24"/>
          <w:szCs w:val="24"/>
        </w:rPr>
        <w:t>PCR反向点杂交</w:t>
      </w:r>
      <w:r>
        <w:rPr>
          <w:rFonts w:hint="eastAsia" w:ascii="宋体" w:hAnsi="宋体" w:eastAsia="宋体" w:cs="宋体"/>
          <w:kern w:val="0"/>
          <w:sz w:val="24"/>
          <w:szCs w:val="24"/>
        </w:rPr>
        <w:t>）</w:t>
      </w:r>
    </w:p>
    <w:p>
      <w:pPr>
        <w:widowControl/>
        <w:wordWrap w:val="0"/>
        <w:spacing w:line="193" w:lineRule="atLeast"/>
        <w:rPr>
          <w:rFonts w:ascii="宋体" w:hAnsi="宋体" w:eastAsia="宋体" w:cs="宋体"/>
          <w:kern w:val="0"/>
          <w:sz w:val="24"/>
          <w:szCs w:val="24"/>
        </w:rPr>
      </w:pPr>
      <w:r>
        <w:rPr>
          <w:rFonts w:hint="eastAsia" w:ascii="宋体" w:hAnsi="宋体" w:eastAsia="宋体" w:cs="宋体"/>
          <w:kern w:val="0"/>
          <w:sz w:val="24"/>
          <w:szCs w:val="24"/>
        </w:rPr>
        <w:t>三、技术要求：</w:t>
      </w:r>
    </w:p>
    <w:tbl>
      <w:tblPr>
        <w:tblStyle w:val="8"/>
        <w:tblW w:w="4876"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09" w:type="pct"/>
            <w:tcBorders>
              <w:bottom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项目名称</w:t>
            </w:r>
          </w:p>
        </w:tc>
        <w:tc>
          <w:tcPr>
            <w:tcW w:w="3890" w:type="pct"/>
            <w:tcBorders>
              <w:bottom w:val="single" w:color="auto" w:sz="4"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09" w:type="pct"/>
            <w:shd w:val="clear" w:color="000000" w:fill="auto"/>
            <w:noWrap/>
            <w:vAlign w:val="center"/>
          </w:tcPr>
          <w:p>
            <w:pPr>
              <w:rPr>
                <w:rFonts w:cs="宋体" w:asciiTheme="minorEastAsia" w:hAnsiTheme="minorEastAsia"/>
                <w:sz w:val="24"/>
                <w:szCs w:val="24"/>
              </w:rPr>
            </w:pPr>
            <w:r>
              <w:rPr>
                <w:rFonts w:hint="eastAsia" w:ascii="宋体" w:hAnsi="宋体" w:eastAsia="宋体" w:cs="宋体"/>
                <w:kern w:val="0"/>
                <w:sz w:val="24"/>
                <w:szCs w:val="24"/>
              </w:rPr>
              <w:t>地中海贫血基因</w:t>
            </w:r>
            <w:r>
              <w:rPr>
                <w:rFonts w:hint="eastAsia" w:ascii="宋体" w:hAnsi="宋体" w:eastAsia="宋体" w:cs="宋体"/>
                <w:color w:val="000000"/>
                <w:kern w:val="0"/>
                <w:sz w:val="24"/>
                <w:szCs w:val="24"/>
              </w:rPr>
              <w:t>检测</w:t>
            </w:r>
            <w:r>
              <w:rPr>
                <w:rFonts w:hint="eastAsia" w:ascii="宋体" w:hAnsi="宋体" w:eastAsia="宋体" w:cs="宋体"/>
                <w:kern w:val="0"/>
                <w:sz w:val="24"/>
                <w:szCs w:val="24"/>
              </w:rPr>
              <w:t>（</w:t>
            </w:r>
            <w:r>
              <w:rPr>
                <w:rFonts w:ascii="宋体" w:hAnsi="宋体" w:eastAsia="宋体" w:cs="宋体"/>
                <w:color w:val="000000"/>
                <w:kern w:val="0"/>
                <w:sz w:val="24"/>
                <w:szCs w:val="24"/>
              </w:rPr>
              <w:t>PCR反向点杂交</w:t>
            </w:r>
            <w:r>
              <w:rPr>
                <w:rFonts w:hint="eastAsia" w:ascii="宋体" w:hAnsi="宋体" w:eastAsia="宋体" w:cs="宋体"/>
                <w:kern w:val="0"/>
                <w:sz w:val="24"/>
                <w:szCs w:val="24"/>
              </w:rPr>
              <w:t>）</w:t>
            </w:r>
          </w:p>
        </w:tc>
        <w:tc>
          <w:tcPr>
            <w:tcW w:w="3890" w:type="pct"/>
            <w:shd w:val="clear" w:color="000000" w:fill="auto"/>
            <w:noWrap/>
            <w:vAlign w:val="center"/>
          </w:tcPr>
          <w:p>
            <w:pPr>
              <w:pStyle w:val="23"/>
              <w:numPr>
                <w:ilvl w:val="0"/>
                <w:numId w:val="1"/>
              </w:numPr>
              <w:spacing w:line="360" w:lineRule="auto"/>
              <w:ind w:firstLineChars="0"/>
              <w:rPr>
                <w:rFonts w:ascii="宋体" w:hAnsi="宋体" w:eastAsia="宋体" w:cs="宋体"/>
              </w:rPr>
            </w:pPr>
            <w:r>
              <w:rPr>
                <w:rFonts w:hint="eastAsia" w:ascii="宋体" w:hAnsi="宋体" w:eastAsia="宋体" w:cs="宋体"/>
              </w:rPr>
              <w:t>检测方法：</w:t>
            </w:r>
            <w:r>
              <w:rPr>
                <w:rFonts w:ascii="宋体" w:hAnsi="宋体" w:eastAsia="宋体" w:cs="宋体"/>
                <w:color w:val="000000"/>
                <w:kern w:val="0"/>
                <w:sz w:val="24"/>
                <w:szCs w:val="24"/>
              </w:rPr>
              <w:t>PCR</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反向点杂交法</w:t>
            </w:r>
            <w:r>
              <w:rPr>
                <w:rFonts w:hint="eastAsia" w:ascii="Times New Roman" w:hAnsi="Times New Roman" w:cs="Times New Roman"/>
              </w:rPr>
              <w:t>。对实验室设备依赖性低，临床可及性好，是《α-地中海贫血的临床实践指南》和《β-地中海贫血的临床实践指南》所推荐的一线临床技术；</w:t>
            </w:r>
          </w:p>
          <w:p>
            <w:pPr>
              <w:pStyle w:val="23"/>
              <w:numPr>
                <w:ilvl w:val="0"/>
                <w:numId w:val="1"/>
              </w:numPr>
              <w:spacing w:line="360" w:lineRule="auto"/>
              <w:ind w:firstLineChars="0"/>
              <w:rPr>
                <w:rFonts w:ascii="宋体" w:hAnsi="宋体"/>
                <w:szCs w:val="20"/>
              </w:rPr>
            </w:pPr>
            <w:r>
              <w:rPr>
                <w:rFonts w:hint="eastAsia" w:ascii="宋体" w:hAnsi="宋体" w:cs="宋体"/>
              </w:rPr>
              <w:t>预期用途：</w:t>
            </w:r>
            <w:r>
              <w:rPr>
                <w:rFonts w:hint="eastAsia" w:ascii="宋体" w:hAnsi="宋体"/>
                <w:szCs w:val="20"/>
              </w:rPr>
              <w:t>体外定性检测人全血基因D</w:t>
            </w:r>
            <w:r>
              <w:rPr>
                <w:rFonts w:ascii="宋体" w:hAnsi="宋体"/>
                <w:szCs w:val="20"/>
              </w:rPr>
              <w:t>NA样本</w:t>
            </w:r>
            <w:r>
              <w:rPr>
                <w:rFonts w:hint="eastAsia" w:ascii="宋体" w:hAnsi="宋体"/>
                <w:szCs w:val="20"/>
              </w:rPr>
              <w:t>，</w:t>
            </w:r>
            <w:r>
              <w:rPr>
                <w:rFonts w:ascii="宋体" w:hAnsi="宋体"/>
                <w:szCs w:val="20"/>
              </w:rPr>
              <w:t>能够检出中国人常见的</w:t>
            </w:r>
            <w:r>
              <w:rPr>
                <w:rFonts w:hint="eastAsia" w:ascii="宋体" w:hAnsi="宋体"/>
                <w:szCs w:val="20"/>
              </w:rPr>
              <w:t>3种缺失型</w:t>
            </w:r>
            <w:r>
              <w:rPr>
                <w:rFonts w:ascii="Symbol" w:hAnsi="Symbol"/>
                <w:szCs w:val="20"/>
              </w:rPr>
              <w:t></w:t>
            </w:r>
            <w:r>
              <w:rPr>
                <w:rFonts w:hint="eastAsia" w:ascii="宋体" w:hAnsi="宋体"/>
                <w:szCs w:val="20"/>
              </w:rPr>
              <w:t>-地中海贫血基因突变、3种非缺失型</w:t>
            </w:r>
            <w:r>
              <w:rPr>
                <w:rFonts w:ascii="Symbol" w:hAnsi="Symbol"/>
                <w:szCs w:val="20"/>
              </w:rPr>
              <w:t></w:t>
            </w:r>
            <w:r>
              <w:rPr>
                <w:rFonts w:hint="eastAsia" w:ascii="宋体" w:hAnsi="宋体"/>
                <w:szCs w:val="20"/>
              </w:rPr>
              <w:t>-地中海贫血基因突变和1</w:t>
            </w:r>
            <w:r>
              <w:rPr>
                <w:rFonts w:ascii="宋体" w:hAnsi="宋体"/>
                <w:szCs w:val="20"/>
              </w:rPr>
              <w:t>7种</w:t>
            </w:r>
            <w:r>
              <w:rPr>
                <w:rFonts w:ascii="Symbol" w:hAnsi="Symbol"/>
                <w:szCs w:val="20"/>
              </w:rPr>
              <w:t></w:t>
            </w:r>
            <w:r>
              <w:rPr>
                <w:rFonts w:hint="eastAsia" w:ascii="宋体" w:hAnsi="宋体"/>
                <w:szCs w:val="20"/>
              </w:rPr>
              <w:t>-</w:t>
            </w:r>
            <w:r>
              <w:rPr>
                <w:rFonts w:ascii="宋体" w:hAnsi="宋体"/>
                <w:szCs w:val="20"/>
              </w:rPr>
              <w:t>地中海贫血基因突变</w:t>
            </w:r>
            <w:r>
              <w:rPr>
                <w:rFonts w:hint="eastAsia" w:ascii="宋体" w:hAnsi="宋体"/>
                <w:szCs w:val="20"/>
              </w:rPr>
              <w:t>。</w:t>
            </w:r>
          </w:p>
          <w:p>
            <w:pPr>
              <w:pStyle w:val="23"/>
              <w:numPr>
                <w:ilvl w:val="0"/>
                <w:numId w:val="1"/>
              </w:numPr>
              <w:spacing w:line="360" w:lineRule="auto"/>
              <w:ind w:firstLineChars="0"/>
              <w:rPr>
                <w:rFonts w:ascii="宋体" w:hAnsi="宋体"/>
                <w:szCs w:val="20"/>
              </w:rPr>
            </w:pPr>
            <w:r>
              <w:rPr>
                <w:rFonts w:hint="eastAsia" w:ascii="宋体" w:hAnsi="宋体"/>
                <w:szCs w:val="20"/>
              </w:rPr>
              <w:t>试剂获国家药品监督管理局审批通过，有三类医疗器械注册证书；</w:t>
            </w:r>
          </w:p>
          <w:p>
            <w:pPr>
              <w:pStyle w:val="23"/>
              <w:numPr>
                <w:ilvl w:val="0"/>
                <w:numId w:val="1"/>
              </w:numPr>
              <w:spacing w:line="360" w:lineRule="auto"/>
              <w:ind w:firstLineChars="0"/>
              <w:rPr>
                <w:rFonts w:ascii="宋体" w:hAnsi="宋体"/>
                <w:szCs w:val="20"/>
              </w:rPr>
            </w:pPr>
            <w:r>
              <w:rPr>
                <w:rFonts w:hint="eastAsia" w:ascii="宋体" w:hAnsi="宋体"/>
                <w:szCs w:val="20"/>
              </w:rPr>
              <w:t xml:space="preserve">检测范围：采用同一种技术方法，检测涵盖α-缺失、α-非缺失、β-突变； </w:t>
            </w:r>
          </w:p>
          <w:p>
            <w:pPr>
              <w:pStyle w:val="23"/>
              <w:numPr>
                <w:ilvl w:val="0"/>
                <w:numId w:val="1"/>
              </w:numPr>
              <w:spacing w:line="360" w:lineRule="auto"/>
              <w:ind w:firstLineChars="0"/>
              <w:rPr>
                <w:rFonts w:ascii="宋体" w:hAnsi="宋体"/>
                <w:szCs w:val="20"/>
              </w:rPr>
            </w:pPr>
            <w:r>
              <w:rPr>
                <w:rFonts w:hint="eastAsia" w:ascii="宋体" w:hAnsi="宋体"/>
                <w:szCs w:val="20"/>
              </w:rPr>
              <w:t>检测位点：一次试验可实现23种常</w:t>
            </w:r>
            <w:bookmarkStart w:id="0" w:name="_GoBack"/>
            <w:bookmarkEnd w:id="0"/>
            <w:r>
              <w:rPr>
                <w:rFonts w:hint="eastAsia" w:ascii="宋体" w:hAnsi="宋体"/>
                <w:szCs w:val="20"/>
              </w:rPr>
              <w:t xml:space="preserve">见地贫基因型检测。符合《地中海贫血防控试点项目技术服务规范》（国卫妇幼出防便函 [2014] 106号）和《地中海贫血筛查实验室、基因检测实验室与产前诊断中心设置和管理指南》（国卫办妇幼函 [2018] 683号）规定的3种缺失型α-地贫基因型（--SEA、-α3.7、-α4.2）、3种非缺失型α-地贫基因型（αCS、αQS、αWS）和17种β-地贫基因型（41-42M、17M、654M、71-72M、-28M、βEM、43M、14-15M、-30M、-32M、-29M、CapM、31M、IVS-I-5M、IntM、IVS-I-1M、27-28M）； </w:t>
            </w:r>
          </w:p>
          <w:p>
            <w:pPr>
              <w:pStyle w:val="23"/>
              <w:numPr>
                <w:ilvl w:val="0"/>
                <w:numId w:val="1"/>
              </w:numPr>
              <w:spacing w:line="360" w:lineRule="auto"/>
              <w:ind w:firstLineChars="0"/>
              <w:rPr>
                <w:rFonts w:ascii="宋体" w:hAnsi="宋体"/>
                <w:szCs w:val="20"/>
              </w:rPr>
            </w:pPr>
            <w:r>
              <w:rPr>
                <w:rFonts w:hint="eastAsia" w:ascii="Times New Roman" w:hAnsi="Times New Roman" w:cs="Times New Roman"/>
              </w:rPr>
              <w:t>检测性能：</w:t>
            </w:r>
          </w:p>
          <w:p>
            <w:pPr>
              <w:pStyle w:val="23"/>
              <w:numPr>
                <w:ilvl w:val="0"/>
                <w:numId w:val="2"/>
              </w:numPr>
              <w:spacing w:line="360" w:lineRule="auto"/>
              <w:ind w:firstLineChars="0"/>
              <w:rPr>
                <w:rFonts w:ascii="宋体" w:hAnsi="宋体"/>
                <w:szCs w:val="20"/>
              </w:rPr>
            </w:pPr>
            <w:r>
              <w:rPr>
                <w:rFonts w:hint="eastAsia" w:ascii="宋体" w:hAnsi="宋体"/>
                <w:szCs w:val="20"/>
              </w:rPr>
              <w:t>灵敏度：试剂最低检测限10ng/uL，PCR扩增加样量≤5uL；</w:t>
            </w:r>
          </w:p>
          <w:p>
            <w:pPr>
              <w:pStyle w:val="23"/>
              <w:numPr>
                <w:ilvl w:val="0"/>
                <w:numId w:val="2"/>
              </w:numPr>
              <w:spacing w:line="360" w:lineRule="auto"/>
              <w:ind w:firstLineChars="0"/>
              <w:rPr>
                <w:rFonts w:ascii="宋体" w:hAnsi="宋体"/>
                <w:szCs w:val="20"/>
              </w:rPr>
            </w:pPr>
            <w:r>
              <w:rPr>
                <w:rFonts w:hint="eastAsia" w:ascii="宋体" w:hAnsi="宋体"/>
                <w:szCs w:val="20"/>
              </w:rPr>
              <w:t>准确性：试剂检测标准品/临床样本阳性符合率和阴性符合率均为100%；</w:t>
            </w:r>
          </w:p>
          <w:p>
            <w:pPr>
              <w:pStyle w:val="23"/>
              <w:numPr>
                <w:ilvl w:val="0"/>
                <w:numId w:val="2"/>
              </w:numPr>
              <w:spacing w:line="360" w:lineRule="auto"/>
              <w:ind w:firstLineChars="0"/>
              <w:rPr>
                <w:rFonts w:ascii="宋体" w:hAnsi="宋体"/>
                <w:szCs w:val="20"/>
              </w:rPr>
            </w:pPr>
            <w:r>
              <w:rPr>
                <w:rFonts w:hint="eastAsia" w:ascii="宋体" w:hAnsi="宋体"/>
                <w:szCs w:val="20"/>
              </w:rPr>
              <w:t>特异性：试剂检测特异性好，EDTA和枸橼酸钠抗凝对检测试验无干扰；溶血、脂血、黄疸样本不影响检测结果；与其他基因突变型和异种DNA无交叉反应；；</w:t>
            </w:r>
          </w:p>
          <w:p>
            <w:pPr>
              <w:pStyle w:val="23"/>
              <w:numPr>
                <w:ilvl w:val="0"/>
                <w:numId w:val="2"/>
              </w:numPr>
              <w:spacing w:line="360" w:lineRule="auto"/>
              <w:ind w:firstLineChars="0"/>
              <w:rPr>
                <w:rFonts w:ascii="宋体" w:hAnsi="宋体"/>
                <w:szCs w:val="20"/>
              </w:rPr>
            </w:pPr>
            <w:r>
              <w:rPr>
                <w:rFonts w:hint="eastAsia" w:ascii="宋体" w:hAnsi="宋体"/>
                <w:szCs w:val="20"/>
              </w:rPr>
              <w:t>稳定性：试剂有高温储存、反复冻融、常温运输等稳定试验证明试剂在20-25℃条件下储运7天不影响检测性能；</w:t>
            </w:r>
          </w:p>
          <w:p>
            <w:pPr>
              <w:pStyle w:val="23"/>
              <w:numPr>
                <w:ilvl w:val="0"/>
                <w:numId w:val="2"/>
              </w:numPr>
              <w:spacing w:line="360" w:lineRule="auto"/>
              <w:ind w:firstLineChars="0"/>
              <w:rPr>
                <w:rFonts w:ascii="宋体" w:hAnsi="宋体"/>
                <w:szCs w:val="20"/>
              </w:rPr>
            </w:pPr>
            <w:r>
              <w:rPr>
                <w:rFonts w:hint="eastAsia" w:ascii="宋体" w:hAnsi="宋体"/>
                <w:szCs w:val="20"/>
              </w:rPr>
              <w:t>重复性：不同批次试剂，不同浓度，不同人在不同时间，不同试验条件下检测多种基因型样本能多次重复稳定检测出相应的地贫基因型，且结果显色均一、检测准确一致；</w:t>
            </w:r>
          </w:p>
          <w:p>
            <w:pPr>
              <w:pStyle w:val="23"/>
              <w:numPr>
                <w:ilvl w:val="0"/>
                <w:numId w:val="2"/>
              </w:numPr>
              <w:spacing w:line="360" w:lineRule="auto"/>
              <w:ind w:firstLineChars="0"/>
              <w:rPr>
                <w:rFonts w:ascii="宋体" w:hAnsi="宋体"/>
                <w:szCs w:val="20"/>
              </w:rPr>
            </w:pPr>
            <w:r>
              <w:rPr>
                <w:rFonts w:hint="eastAsia" w:ascii="宋体" w:hAnsi="宋体"/>
                <w:szCs w:val="20"/>
              </w:rPr>
              <w:t>通用性：不同批号试剂盒中各组分可以互换使用；</w:t>
            </w:r>
          </w:p>
          <w:p>
            <w:pPr>
              <w:pStyle w:val="23"/>
              <w:numPr>
                <w:ilvl w:val="0"/>
                <w:numId w:val="2"/>
              </w:numPr>
              <w:spacing w:line="360" w:lineRule="auto"/>
              <w:ind w:firstLineChars="0"/>
              <w:rPr>
                <w:rFonts w:ascii="宋体" w:hAnsi="宋体"/>
                <w:szCs w:val="20"/>
              </w:rPr>
            </w:pPr>
            <w:r>
              <w:rPr>
                <w:rFonts w:hint="eastAsia" w:ascii="宋体" w:hAnsi="宋体"/>
                <w:szCs w:val="20"/>
              </w:rPr>
              <w:t>防污染：试剂设有UNG酶防污染体系；</w:t>
            </w:r>
          </w:p>
          <w:p>
            <w:pPr>
              <w:pStyle w:val="23"/>
              <w:numPr>
                <w:ilvl w:val="0"/>
                <w:numId w:val="1"/>
              </w:numPr>
              <w:spacing w:line="360" w:lineRule="auto"/>
              <w:ind w:firstLineChars="0"/>
              <w:rPr>
                <w:rFonts w:ascii="宋体" w:hAnsi="宋体"/>
                <w:szCs w:val="20"/>
              </w:rPr>
            </w:pPr>
            <w:r>
              <w:rPr>
                <w:rFonts w:hint="eastAsia" w:ascii="宋体" w:hAnsi="宋体"/>
                <w:szCs w:val="20"/>
              </w:rPr>
              <w:t>使用便利性：单管单人份包装，试剂为已分装完成可直接加样进行PCR扩增的预分装试剂，无需再人工分装及添加酶等其他成分；</w:t>
            </w:r>
          </w:p>
          <w:p>
            <w:pPr>
              <w:pStyle w:val="23"/>
              <w:numPr>
                <w:ilvl w:val="0"/>
                <w:numId w:val="1"/>
              </w:numPr>
              <w:spacing w:line="360" w:lineRule="auto"/>
              <w:ind w:firstLineChars="0"/>
              <w:rPr>
                <w:rFonts w:ascii="宋体" w:hAnsi="宋体"/>
                <w:szCs w:val="20"/>
              </w:rPr>
            </w:pPr>
            <w:r>
              <w:rPr>
                <w:rFonts w:hint="eastAsia" w:ascii="宋体" w:hAnsi="宋体"/>
                <w:szCs w:val="20"/>
              </w:rPr>
              <w:t>结果判读：膜条可以编号标记，且已标注基因型，可直接辩读出突变型别，无需对照判读表；</w:t>
            </w:r>
          </w:p>
          <w:p>
            <w:pPr>
              <w:pStyle w:val="23"/>
              <w:numPr>
                <w:ilvl w:val="0"/>
                <w:numId w:val="1"/>
              </w:numPr>
              <w:spacing w:line="360" w:lineRule="auto"/>
              <w:ind w:firstLineChars="0"/>
              <w:rPr>
                <w:rFonts w:ascii="宋体" w:hAnsi="宋体"/>
                <w:szCs w:val="20"/>
              </w:rPr>
            </w:pPr>
            <w:r>
              <w:rPr>
                <w:rFonts w:hint="eastAsia" w:ascii="宋体" w:hAnsi="宋体"/>
                <w:szCs w:val="20"/>
              </w:rPr>
              <w:t>正常对照：膜条上设有9个正常对照位点，可区分15种常见地贫基因型纯合与杂合突变；</w:t>
            </w:r>
          </w:p>
          <w:p>
            <w:pPr>
              <w:pStyle w:val="23"/>
              <w:numPr>
                <w:ilvl w:val="0"/>
                <w:numId w:val="1"/>
              </w:numPr>
              <w:spacing w:line="360" w:lineRule="auto"/>
              <w:ind w:firstLineChars="0"/>
              <w:rPr>
                <w:rFonts w:ascii="宋体" w:hAnsi="宋体"/>
              </w:rPr>
            </w:pPr>
            <w:r>
              <w:rPr>
                <w:rFonts w:ascii="Times New Roman" w:hAnsi="Times New Roman" w:cs="Times New Roman"/>
              </w:rPr>
              <w:t>适配</w:t>
            </w:r>
            <w:r>
              <w:rPr>
                <w:rFonts w:hint="eastAsia" w:ascii="Times New Roman" w:hAnsi="Times New Roman" w:cs="Times New Roman"/>
              </w:rPr>
              <w:t>仪器：P</w:t>
            </w:r>
            <w:r>
              <w:rPr>
                <w:rFonts w:ascii="Times New Roman" w:hAnsi="Times New Roman" w:cs="Times New Roman"/>
              </w:rPr>
              <w:t>CR仪</w:t>
            </w:r>
            <w:r>
              <w:rPr>
                <w:rFonts w:hint="eastAsia" w:ascii="Times New Roman" w:hAnsi="Times New Roman" w:cs="Times New Roman"/>
              </w:rPr>
              <w:t>，</w:t>
            </w:r>
            <w:r>
              <w:rPr>
                <w:rFonts w:ascii="Times New Roman" w:hAnsi="Times New Roman" w:cs="Times New Roman"/>
              </w:rPr>
              <w:t>恒温杂交仪</w:t>
            </w: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5000" w:type="pct"/>
            <w:gridSpan w:val="2"/>
            <w:shd w:val="clear" w:color="000000" w:fill="auto"/>
            <w:noWrap/>
            <w:vAlign w:val="center"/>
          </w:tcPr>
          <w:p>
            <w:pPr>
              <w:rPr>
                <w:rFonts w:asciiTheme="minorEastAsia" w:hAnsiTheme="minorEastAsia"/>
                <w:sz w:val="24"/>
                <w:szCs w:val="24"/>
              </w:rPr>
            </w:pPr>
            <w:r>
              <w:rPr>
                <w:rFonts w:hint="eastAsia" w:asciiTheme="minorEastAsia" w:hAnsiTheme="minorEastAsia"/>
                <w:sz w:val="24"/>
                <w:szCs w:val="24"/>
              </w:rPr>
              <w:t>备注：</w:t>
            </w:r>
            <w:r>
              <w:rPr>
                <w:rFonts w:hint="eastAsia" w:ascii="Times New Roman" w:hAnsi="Times New Roman" w:cs="Times New Roman"/>
              </w:rPr>
              <w:t>以三口之家为一次检测单位，预估年度测试量为50次。</w:t>
            </w:r>
          </w:p>
        </w:tc>
      </w:tr>
    </w:tbl>
    <w:p>
      <w:pPr>
        <w:widowControl/>
        <w:wordWrap w:val="0"/>
        <w:spacing w:line="193" w:lineRule="atLeast"/>
        <w:rPr>
          <w:rFonts w:ascii="宋体" w:hAnsi="宋体" w:eastAsia="宋体" w:cs="宋体"/>
          <w:kern w:val="0"/>
          <w:sz w:val="24"/>
          <w:szCs w:val="24"/>
        </w:rPr>
      </w:pPr>
    </w:p>
    <w:p>
      <w:pPr>
        <w:spacing w:line="300" w:lineRule="auto"/>
        <w:rPr>
          <w:rFonts w:asciiTheme="minorEastAsia" w:hAnsiTheme="minorEastAsia"/>
          <w:sz w:val="24"/>
          <w:szCs w:val="24"/>
        </w:rPr>
      </w:pPr>
      <w:r>
        <w:rPr>
          <w:rFonts w:hint="eastAsia" w:asciiTheme="minorEastAsia" w:hAnsiTheme="minorEastAsia"/>
          <w:sz w:val="24"/>
          <w:szCs w:val="24"/>
        </w:rPr>
        <w:t>1、提供产品清单，包括产品信息和报价。</w:t>
      </w:r>
    </w:p>
    <w:p>
      <w:pPr>
        <w:spacing w:line="300" w:lineRule="auto"/>
        <w:rPr>
          <w:rFonts w:asciiTheme="minorEastAsia" w:hAnsiTheme="minorEastAsia"/>
          <w:sz w:val="24"/>
          <w:szCs w:val="24"/>
        </w:rPr>
      </w:pPr>
      <w:r>
        <w:rPr>
          <w:rFonts w:hint="eastAsia" w:asciiTheme="minorEastAsia" w:hAnsiTheme="minorEastAsia"/>
          <w:sz w:val="24"/>
          <w:szCs w:val="24"/>
        </w:rPr>
        <w:t>（1）产品信息，提供试剂、试剂盒、校准品、质控品、辅助品等产品名称、包装规格、生产厂家全称、存储条件、保质期等信息，必须与产品资证及实物包装相符。未列出的质控品、校准品及相关辅助产品将被视为标准配置，院方不再另行单独采购。</w:t>
      </w:r>
    </w:p>
    <w:p>
      <w:pPr>
        <w:spacing w:line="300" w:lineRule="auto"/>
        <w:rPr>
          <w:rFonts w:asciiTheme="minorEastAsia" w:hAnsiTheme="minorEastAsia"/>
          <w:sz w:val="24"/>
          <w:szCs w:val="24"/>
        </w:rPr>
      </w:pPr>
      <w:r>
        <w:rPr>
          <w:rFonts w:hint="eastAsia" w:asciiTheme="minorEastAsia" w:hAnsiTheme="minorEastAsia"/>
          <w:sz w:val="24"/>
          <w:szCs w:val="24"/>
        </w:rPr>
        <w:t>（2）产品报价，须包含所提供产品的采购、运输、保险、税收、配送服务等一切费用，采购方不再承担额外费用。报价信息包括单人份报价（即试剂、试剂盒、校准品、质控品、辅助品等所有产品完成该检测所需成本）、试剂对应检测项目名称及收费价格信息、单人份价格/项目收费价格、扣率等。</w:t>
      </w:r>
    </w:p>
    <w:p>
      <w:pPr>
        <w:spacing w:line="300" w:lineRule="auto"/>
        <w:rPr>
          <w:rFonts w:asciiTheme="minorEastAsia" w:hAnsiTheme="minorEastAsia"/>
          <w:sz w:val="24"/>
          <w:szCs w:val="24"/>
        </w:rPr>
      </w:pPr>
      <w:r>
        <w:rPr>
          <w:rFonts w:hint="eastAsia" w:asciiTheme="minorEastAsia" w:hAnsiTheme="minorEastAsia"/>
          <w:sz w:val="24"/>
          <w:szCs w:val="24"/>
        </w:rPr>
        <w:t>2、提供本市三级公立医院试剂价格发票复印件。</w:t>
      </w:r>
    </w:p>
    <w:p>
      <w:pPr>
        <w:spacing w:line="300" w:lineRule="auto"/>
        <w:rPr>
          <w:rFonts w:asciiTheme="minorEastAsia" w:hAnsiTheme="minorEastAsia"/>
          <w:sz w:val="24"/>
          <w:szCs w:val="24"/>
        </w:rPr>
      </w:pPr>
      <w:r>
        <w:rPr>
          <w:rFonts w:hint="eastAsia" w:asciiTheme="minorEastAsia" w:hAnsiTheme="minorEastAsia"/>
          <w:sz w:val="24"/>
          <w:szCs w:val="24"/>
        </w:rPr>
        <w:t>3、试剂价格5年内不得上涨；但受收费政策、新技术发展、应用规模、竞争产品、同行比照等因素影响，应配合价格评估并及时对价格下调。</w:t>
      </w:r>
    </w:p>
    <w:p>
      <w:pPr>
        <w:spacing w:line="300" w:lineRule="auto"/>
        <w:rPr>
          <w:rFonts w:asciiTheme="minorEastAsia" w:hAnsiTheme="minorEastAsia"/>
          <w:sz w:val="24"/>
          <w:szCs w:val="24"/>
        </w:rPr>
      </w:pPr>
      <w:r>
        <w:rPr>
          <w:rFonts w:hint="eastAsia" w:asciiTheme="minorEastAsia" w:hAnsiTheme="minorEastAsia"/>
          <w:sz w:val="24"/>
          <w:szCs w:val="24"/>
        </w:rPr>
        <w:t>4、提供产品资证、相关说明书、存储要求、供应包装与标签等文件。</w:t>
      </w:r>
    </w:p>
    <w:p>
      <w:pPr>
        <w:spacing w:line="300" w:lineRule="auto"/>
        <w:rPr>
          <w:rFonts w:asciiTheme="minorEastAsia" w:hAnsiTheme="minorEastAsia"/>
          <w:sz w:val="24"/>
          <w:szCs w:val="24"/>
        </w:rPr>
      </w:pPr>
      <w:r>
        <w:rPr>
          <w:rFonts w:hint="eastAsia" w:asciiTheme="minorEastAsia" w:hAnsiTheme="minorEastAsia"/>
          <w:sz w:val="24"/>
          <w:szCs w:val="24"/>
        </w:rPr>
        <w:t>（1）所有产品（包括试剂、试剂盒、校准品、质控品、辅助品等）的文件资料必须真实有效，包括但不限于：营业执照、经营许可证、生产许可证、代理授权文件、医疗器械注册证、第一类医疗器械备案凭证、说明书等。</w:t>
      </w:r>
    </w:p>
    <w:p>
      <w:pPr>
        <w:spacing w:line="300" w:lineRule="auto"/>
        <w:rPr>
          <w:rFonts w:asciiTheme="minorEastAsia" w:hAnsiTheme="minorEastAsia"/>
          <w:sz w:val="24"/>
          <w:szCs w:val="24"/>
        </w:rPr>
      </w:pPr>
      <w:r>
        <w:rPr>
          <w:rFonts w:hint="eastAsia" w:asciiTheme="minorEastAsia" w:hAnsiTheme="minorEastAsia"/>
          <w:sz w:val="24"/>
          <w:szCs w:val="24"/>
        </w:rPr>
        <w:t>（2）进口产品，须同时提供原版与中文的相关说明书。</w:t>
      </w:r>
    </w:p>
    <w:p>
      <w:pPr>
        <w:spacing w:line="300" w:lineRule="auto"/>
        <w:rPr>
          <w:rFonts w:asciiTheme="minorEastAsia" w:hAnsiTheme="minorEastAsia"/>
          <w:sz w:val="24"/>
          <w:szCs w:val="24"/>
        </w:rPr>
      </w:pPr>
      <w:r>
        <w:rPr>
          <w:rFonts w:hint="eastAsia" w:asciiTheme="minorEastAsia" w:hAnsiTheme="minorEastAsia"/>
          <w:sz w:val="24"/>
          <w:szCs w:val="24"/>
        </w:rPr>
        <w:t>5、接到院方通知后保证24小时内配送到达服务，保障临床需求。</w:t>
      </w:r>
    </w:p>
    <w:p>
      <w:pPr>
        <w:spacing w:line="300" w:lineRule="auto"/>
        <w:rPr>
          <w:rFonts w:asciiTheme="minorEastAsia" w:hAnsiTheme="minorEastAsia"/>
          <w:sz w:val="24"/>
          <w:szCs w:val="24"/>
        </w:rPr>
      </w:pPr>
      <w:r>
        <w:rPr>
          <w:rFonts w:hint="eastAsia" w:asciiTheme="minorEastAsia" w:hAnsiTheme="minorEastAsia"/>
          <w:sz w:val="24"/>
          <w:szCs w:val="24"/>
        </w:rPr>
        <w:t>6、提供的产品需符合国家关于质量、运输、存储、安全的规定与要求，并通过实验室质量管理要求的相关性能验证。</w:t>
      </w:r>
    </w:p>
    <w:p>
      <w:pPr>
        <w:spacing w:line="300" w:lineRule="auto"/>
        <w:rPr>
          <w:rFonts w:asciiTheme="minorEastAsia" w:hAnsiTheme="minorEastAsia"/>
          <w:sz w:val="24"/>
          <w:szCs w:val="24"/>
        </w:rPr>
      </w:pPr>
      <w:r>
        <w:rPr>
          <w:rFonts w:hint="eastAsia" w:asciiTheme="minorEastAsia" w:hAnsiTheme="minorEastAsia"/>
          <w:sz w:val="24"/>
          <w:szCs w:val="24"/>
        </w:rPr>
        <w:t>7、提供完善的培训、指导等技术支持，保障临床应用。</w:t>
      </w:r>
    </w:p>
    <w:p>
      <w:pPr>
        <w:spacing w:line="300" w:lineRule="auto"/>
        <w:rPr>
          <w:rFonts w:asciiTheme="minorEastAsia" w:hAnsiTheme="minorEastAsia"/>
          <w:sz w:val="24"/>
          <w:szCs w:val="24"/>
        </w:rPr>
      </w:pPr>
      <w:r>
        <w:rPr>
          <w:rFonts w:hint="eastAsia" w:asciiTheme="minorEastAsia" w:hAnsiTheme="minorEastAsia"/>
          <w:sz w:val="24"/>
          <w:szCs w:val="24"/>
        </w:rPr>
        <w:t>8、提供完善的应急预案，以保证出现突发或意外情况时，不影响院方的正常工作。应急预案应包括：产品的应急、物流的应急等。</w:t>
      </w:r>
    </w:p>
    <w:p>
      <w:pPr>
        <w:spacing w:line="300" w:lineRule="auto"/>
        <w:rPr>
          <w:rFonts w:asciiTheme="minorEastAsia" w:hAnsiTheme="minorEastAsia"/>
          <w:sz w:val="24"/>
          <w:szCs w:val="24"/>
        </w:rPr>
      </w:pPr>
      <w:r>
        <w:rPr>
          <w:rFonts w:hint="eastAsia" w:asciiTheme="minorEastAsia" w:hAnsiTheme="minorEastAsia"/>
          <w:sz w:val="24"/>
          <w:szCs w:val="24"/>
        </w:rPr>
        <w:t>9、保障产品质量并及时供应，并接受院方因为临床需求变更、产品升级及其它质量、价格等变化而提出的服务期结束要求。</w:t>
      </w:r>
    </w:p>
    <w:p>
      <w:pPr>
        <w:spacing w:line="300" w:lineRule="auto"/>
        <w:rPr>
          <w:rFonts w:asciiTheme="minorEastAsia" w:hAnsiTheme="minorEastAsia"/>
          <w:sz w:val="24"/>
          <w:szCs w:val="24"/>
        </w:rPr>
      </w:pPr>
      <w:r>
        <w:rPr>
          <w:rFonts w:hint="eastAsia" w:asciiTheme="minorEastAsia" w:hAnsiTheme="minorEastAsia"/>
          <w:sz w:val="24"/>
          <w:szCs w:val="24"/>
        </w:rPr>
        <w:t>10、院方在实际使用过程中，若发现无效产品，或出现产品与医疗器械注册证等相关证明文件的信息不相符的情况，供应商须无偿补足损耗并承担相应责任。</w:t>
      </w:r>
    </w:p>
    <w:p>
      <w:pPr>
        <w:spacing w:line="300" w:lineRule="auto"/>
        <w:rPr>
          <w:rFonts w:asciiTheme="minorEastAsia" w:hAnsiTheme="minorEastAsia"/>
          <w:sz w:val="24"/>
          <w:szCs w:val="24"/>
        </w:rPr>
      </w:pPr>
      <w:r>
        <w:rPr>
          <w:rFonts w:hint="eastAsia" w:asciiTheme="minorEastAsia" w:hAnsiTheme="minorEastAsia"/>
          <w:sz w:val="24"/>
          <w:szCs w:val="24"/>
        </w:rPr>
        <w:t>11、院方在实际使用过程中，若发现有不合格产品，供应商须对所有剩余产品进行无条件更换。</w:t>
      </w:r>
    </w:p>
    <w:p>
      <w:pPr>
        <w:spacing w:line="300" w:lineRule="auto"/>
        <w:rPr>
          <w:rFonts w:asciiTheme="minorEastAsia" w:hAnsiTheme="minorEastAsia"/>
          <w:sz w:val="24"/>
          <w:szCs w:val="24"/>
        </w:rPr>
      </w:pPr>
      <w:r>
        <w:rPr>
          <w:rFonts w:hint="eastAsia" w:asciiTheme="minorEastAsia" w:hAnsiTheme="minorEastAsia"/>
          <w:sz w:val="24"/>
          <w:szCs w:val="24"/>
        </w:rPr>
        <w:t>12、供应商所供货物自用户验收之日起计算，剩余有效期要求≥6个月；对有效期≤6个月的货物，供应商须在产品有效期内提供无条件更换服务。</w:t>
      </w:r>
    </w:p>
    <w:p>
      <w:pPr>
        <w:spacing w:line="300" w:lineRule="auto"/>
        <w:rPr>
          <w:rFonts w:asciiTheme="minorEastAsia" w:hAnsiTheme="minorEastAsia"/>
          <w:sz w:val="24"/>
          <w:szCs w:val="24"/>
        </w:rPr>
      </w:pPr>
      <w:r>
        <w:rPr>
          <w:rFonts w:hint="eastAsia" w:asciiTheme="minorEastAsia" w:hAnsiTheme="minorEastAsia"/>
          <w:sz w:val="24"/>
          <w:szCs w:val="24"/>
        </w:rPr>
        <w:t>13、积极配合院方完成相关质控工作。</w:t>
      </w:r>
    </w:p>
    <w:p>
      <w:pPr>
        <w:spacing w:line="300" w:lineRule="auto"/>
        <w:rPr>
          <w:rFonts w:asciiTheme="minorEastAsia" w:hAnsiTheme="minorEastAsia"/>
          <w:sz w:val="24"/>
          <w:szCs w:val="24"/>
        </w:rPr>
      </w:pPr>
      <w:r>
        <w:rPr>
          <w:rFonts w:hint="eastAsia" w:asciiTheme="minorEastAsia" w:hAnsiTheme="minorEastAsia"/>
          <w:sz w:val="24"/>
          <w:szCs w:val="24"/>
        </w:rPr>
        <w:t>14、产品在上海市临检中心室间质控检测中出现不合格的，院方有权废除其中选资格，结束其服务，且由此产生的费用由供应商承担。</w:t>
      </w:r>
    </w:p>
    <w:p>
      <w:pPr>
        <w:spacing w:line="300" w:lineRule="auto"/>
        <w:rPr>
          <w:rFonts w:asciiTheme="minorEastAsia" w:hAnsiTheme="minorEastAsia"/>
          <w:sz w:val="24"/>
          <w:szCs w:val="24"/>
        </w:rPr>
      </w:pPr>
      <w:r>
        <w:rPr>
          <w:rFonts w:hint="eastAsia" w:asciiTheme="minorEastAsia" w:hAnsiTheme="minorEastAsia"/>
          <w:sz w:val="24"/>
          <w:szCs w:val="24"/>
        </w:rPr>
        <w:t>15、若因产品质量问题或技术支持不够完善，引起的患者伤害及一切不良后果，供应商将承担由此引发的全部法律责任及经济赔偿。</w:t>
      </w:r>
    </w:p>
    <w:p>
      <w:pPr>
        <w:spacing w:line="300" w:lineRule="auto"/>
        <w:rPr>
          <w:rFonts w:asciiTheme="minorEastAsia" w:hAnsiTheme="minorEastAsia"/>
          <w:sz w:val="24"/>
          <w:szCs w:val="24"/>
        </w:rPr>
      </w:pPr>
      <w:r>
        <w:rPr>
          <w:rFonts w:hint="eastAsia" w:asciiTheme="minorEastAsia" w:hAnsiTheme="minorEastAsia"/>
          <w:sz w:val="24"/>
          <w:szCs w:val="24"/>
        </w:rPr>
        <w:t>16．报价一览表（公司须按照如下报价要求进行报价）</w:t>
      </w:r>
    </w:p>
    <w:p>
      <w:pPr>
        <w:spacing w:line="300" w:lineRule="auto"/>
        <w:rPr>
          <w:rFonts w:asciiTheme="minorEastAsia" w:hAnsiTheme="minorEastAsia"/>
          <w:sz w:val="24"/>
          <w:szCs w:val="24"/>
        </w:rPr>
      </w:pPr>
      <w:r>
        <w:rPr>
          <w:rFonts w:hint="eastAsia" w:asciiTheme="minorEastAsia" w:hAnsiTheme="minorEastAsia"/>
          <w:sz w:val="24"/>
          <w:szCs w:val="24"/>
        </w:rPr>
        <w:t>（说明：若试剂为非人份包装，单人份投标价格需按照每毫升报价除以厂家说明书注明的每毫升理论测试数提供）</w:t>
      </w:r>
    </w:p>
    <w:p>
      <w:pPr>
        <w:widowControl/>
        <w:wordWrap w:val="0"/>
        <w:spacing w:line="193" w:lineRule="atLeast"/>
        <w:rPr>
          <w:rFonts w:ascii="宋体" w:hAnsi="宋体" w:eastAsia="宋体" w:cs="宋体"/>
          <w:kern w:val="0"/>
          <w:szCs w:val="21"/>
        </w:rPr>
      </w:pPr>
    </w:p>
    <w:tbl>
      <w:tblPr>
        <w:tblStyle w:val="8"/>
        <w:tblpPr w:leftFromText="180" w:rightFromText="180" w:vertAnchor="text" w:horzAnchor="margin" w:tblpXSpec="center" w:tblpY="41"/>
        <w:tblOverlap w:val="never"/>
        <w:tblW w:w="98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0"/>
        <w:gridCol w:w="471"/>
        <w:gridCol w:w="471"/>
        <w:gridCol w:w="471"/>
        <w:gridCol w:w="436"/>
        <w:gridCol w:w="436"/>
        <w:gridCol w:w="436"/>
        <w:gridCol w:w="662"/>
        <w:gridCol w:w="609"/>
        <w:gridCol w:w="378"/>
        <w:gridCol w:w="662"/>
        <w:gridCol w:w="695"/>
        <w:gridCol w:w="656"/>
        <w:gridCol w:w="656"/>
        <w:gridCol w:w="510"/>
        <w:gridCol w:w="508"/>
        <w:gridCol w:w="659"/>
        <w:gridCol w:w="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460" w:type="dxa"/>
            <w:vMerge w:val="restart"/>
            <w:vAlign w:val="center"/>
          </w:tcPr>
          <w:p>
            <w:pPr>
              <w:spacing w:line="360" w:lineRule="auto"/>
              <w:jc w:val="center"/>
              <w:rPr>
                <w:rFonts w:ascii="宋体" w:hAnsi="宋体"/>
                <w:sz w:val="22"/>
              </w:rPr>
            </w:pPr>
            <w:r>
              <w:rPr>
                <w:rFonts w:hint="eastAsia" w:ascii="宋体" w:hAnsi="宋体"/>
                <w:sz w:val="22"/>
              </w:rPr>
              <w:t>序号</w:t>
            </w:r>
          </w:p>
        </w:tc>
        <w:tc>
          <w:tcPr>
            <w:tcW w:w="471" w:type="dxa"/>
            <w:vMerge w:val="restart"/>
          </w:tcPr>
          <w:p>
            <w:pPr>
              <w:jc w:val="center"/>
              <w:rPr>
                <w:rFonts w:ascii="宋体" w:hAnsi="宋体"/>
                <w:sz w:val="22"/>
              </w:rPr>
            </w:pPr>
            <w:r>
              <w:rPr>
                <w:rFonts w:hint="eastAsia" w:ascii="宋体" w:hAnsi="宋体"/>
                <w:sz w:val="22"/>
              </w:rPr>
              <w:t>项目名称</w:t>
            </w:r>
          </w:p>
        </w:tc>
        <w:tc>
          <w:tcPr>
            <w:tcW w:w="471" w:type="dxa"/>
            <w:vMerge w:val="restart"/>
          </w:tcPr>
          <w:p>
            <w:pPr>
              <w:jc w:val="center"/>
              <w:rPr>
                <w:rFonts w:ascii="宋体" w:hAnsi="宋体"/>
                <w:sz w:val="22"/>
              </w:rPr>
            </w:pPr>
            <w:r>
              <w:rPr>
                <w:rFonts w:hint="eastAsia" w:ascii="宋体" w:hAnsi="宋体" w:eastAsia="宋体" w:cs="宋体"/>
                <w:kern w:val="0"/>
                <w:szCs w:val="21"/>
              </w:rPr>
              <w:t>年应用量（估计）</w:t>
            </w:r>
          </w:p>
        </w:tc>
        <w:tc>
          <w:tcPr>
            <w:tcW w:w="471" w:type="dxa"/>
            <w:vMerge w:val="restart"/>
            <w:vAlign w:val="center"/>
          </w:tcPr>
          <w:p>
            <w:pPr>
              <w:widowControl/>
              <w:jc w:val="center"/>
              <w:rPr>
                <w:rFonts w:ascii="宋体" w:hAnsi="宋体"/>
                <w:sz w:val="22"/>
              </w:rPr>
            </w:pPr>
            <w:r>
              <w:rPr>
                <w:rFonts w:hint="eastAsia" w:ascii="宋体" w:hAnsi="宋体"/>
                <w:sz w:val="22"/>
              </w:rPr>
              <w:t>投标试剂注册证名称</w:t>
            </w:r>
          </w:p>
        </w:tc>
        <w:tc>
          <w:tcPr>
            <w:tcW w:w="1308" w:type="dxa"/>
            <w:gridSpan w:val="3"/>
            <w:vAlign w:val="center"/>
          </w:tcPr>
          <w:p>
            <w:pPr>
              <w:widowControl/>
              <w:jc w:val="center"/>
              <w:rPr>
                <w:rFonts w:ascii="宋体" w:hAnsi="宋体"/>
                <w:sz w:val="22"/>
              </w:rPr>
            </w:pPr>
            <w:r>
              <w:rPr>
                <w:rFonts w:hint="eastAsia" w:ascii="宋体" w:hAnsi="宋体"/>
                <w:sz w:val="22"/>
              </w:rPr>
              <w:t>用途类型</w:t>
            </w:r>
            <w:r>
              <w:rPr>
                <w:rFonts w:ascii="宋体" w:hAnsi="宋体"/>
                <w:sz w:val="22"/>
              </w:rPr>
              <w:br w:type="textWrapping"/>
            </w:r>
            <w:r>
              <w:rPr>
                <w:rFonts w:hint="eastAsia" w:ascii="宋体" w:hAnsi="宋体"/>
                <w:sz w:val="22"/>
              </w:rPr>
              <w:t>（勾选）</w:t>
            </w:r>
          </w:p>
        </w:tc>
        <w:tc>
          <w:tcPr>
            <w:tcW w:w="662" w:type="dxa"/>
            <w:vMerge w:val="restart"/>
            <w:vAlign w:val="center"/>
          </w:tcPr>
          <w:p>
            <w:pPr>
              <w:widowControl/>
              <w:jc w:val="center"/>
              <w:rPr>
                <w:rFonts w:ascii="宋体" w:hAnsi="宋体"/>
                <w:sz w:val="22"/>
              </w:rPr>
            </w:pPr>
            <w:r>
              <w:rPr>
                <w:rFonts w:hint="eastAsia" w:ascii="宋体" w:hAnsi="宋体"/>
                <w:sz w:val="22"/>
              </w:rPr>
              <w:t>试剂规格（按注册证填写）</w:t>
            </w:r>
          </w:p>
        </w:tc>
        <w:tc>
          <w:tcPr>
            <w:tcW w:w="609" w:type="dxa"/>
            <w:vMerge w:val="restart"/>
          </w:tcPr>
          <w:p>
            <w:pPr>
              <w:widowControl/>
              <w:spacing w:line="252" w:lineRule="atLeast"/>
              <w:rPr>
                <w:rFonts w:ascii="Calibri" w:hAnsi="Calibri" w:eastAsia="宋体" w:cs="宋体"/>
                <w:kern w:val="0"/>
                <w:szCs w:val="21"/>
              </w:rPr>
            </w:pPr>
            <w:r>
              <w:rPr>
                <w:rFonts w:hint="eastAsia" w:ascii="宋体" w:hAnsi="宋体" w:eastAsia="宋体" w:cs="宋体"/>
                <w:kern w:val="0"/>
                <w:szCs w:val="21"/>
              </w:rPr>
              <w:t>注册证号/</w:t>
            </w:r>
            <w:r>
              <w:rPr>
                <w:rFonts w:hint="eastAsia" w:ascii="宋体" w:hAnsi="宋体"/>
                <w:sz w:val="24"/>
              </w:rPr>
              <w:t>一类备案凭证</w:t>
            </w:r>
            <w:r>
              <w:rPr>
                <w:rFonts w:hint="eastAsia" w:ascii="宋体" w:hAnsi="宋体" w:eastAsia="宋体" w:cs="宋体"/>
                <w:kern w:val="0"/>
                <w:szCs w:val="21"/>
              </w:rPr>
              <w:t>号</w:t>
            </w:r>
          </w:p>
        </w:tc>
        <w:tc>
          <w:tcPr>
            <w:tcW w:w="378" w:type="dxa"/>
            <w:vMerge w:val="restart"/>
            <w:vAlign w:val="center"/>
          </w:tcPr>
          <w:p>
            <w:pPr>
              <w:widowControl/>
              <w:jc w:val="center"/>
              <w:rPr>
                <w:rFonts w:ascii="宋体" w:hAnsi="宋体"/>
                <w:sz w:val="22"/>
              </w:rPr>
            </w:pPr>
            <w:r>
              <w:rPr>
                <w:rFonts w:hint="eastAsia" w:ascii="宋体" w:hAnsi="宋体"/>
                <w:sz w:val="22"/>
              </w:rPr>
              <w:t>生产厂家名称</w:t>
            </w:r>
          </w:p>
        </w:tc>
        <w:tc>
          <w:tcPr>
            <w:tcW w:w="662" w:type="dxa"/>
            <w:vMerge w:val="restart"/>
            <w:vAlign w:val="center"/>
          </w:tcPr>
          <w:p>
            <w:pPr>
              <w:widowControl/>
              <w:jc w:val="center"/>
              <w:rPr>
                <w:rFonts w:ascii="宋体" w:hAnsi="宋体"/>
                <w:sz w:val="22"/>
              </w:rPr>
            </w:pPr>
            <w:r>
              <w:rPr>
                <w:rFonts w:hint="eastAsia" w:ascii="宋体" w:hAnsi="宋体"/>
                <w:sz w:val="22"/>
              </w:rPr>
              <w:t>最小订货单元报价（元/盒等）</w:t>
            </w:r>
          </w:p>
        </w:tc>
        <w:tc>
          <w:tcPr>
            <w:tcW w:w="695" w:type="dxa"/>
            <w:vMerge w:val="restart"/>
            <w:vAlign w:val="center"/>
          </w:tcPr>
          <w:p>
            <w:pPr>
              <w:widowControl/>
              <w:jc w:val="center"/>
              <w:rPr>
                <w:rFonts w:ascii="宋体" w:hAnsi="宋体" w:cs="宋体"/>
                <w:b/>
                <w:bCs/>
                <w:kern w:val="0"/>
                <w:sz w:val="22"/>
              </w:rPr>
            </w:pPr>
            <w:r>
              <w:rPr>
                <w:rFonts w:hint="eastAsia" w:ascii="宋体" w:hAnsi="宋体"/>
                <w:sz w:val="22"/>
              </w:rPr>
              <w:t>每订货单元标准测试数（人份/瓶，盒）</w:t>
            </w:r>
          </w:p>
        </w:tc>
        <w:tc>
          <w:tcPr>
            <w:tcW w:w="656" w:type="dxa"/>
            <w:vMerge w:val="restart"/>
            <w:vAlign w:val="center"/>
          </w:tcPr>
          <w:p>
            <w:pPr>
              <w:widowControl/>
              <w:jc w:val="center"/>
              <w:rPr>
                <w:rFonts w:ascii="宋体" w:hAnsi="宋体" w:cs="宋体"/>
                <w:b/>
                <w:bCs/>
                <w:kern w:val="0"/>
                <w:sz w:val="22"/>
              </w:rPr>
            </w:pPr>
            <w:r>
              <w:rPr>
                <w:rFonts w:hint="eastAsia" w:ascii="宋体" w:hAnsi="宋体"/>
                <w:sz w:val="22"/>
              </w:rPr>
              <w:t>包装规格（*瓶/盒，*ml/瓶等）</w:t>
            </w:r>
          </w:p>
        </w:tc>
        <w:tc>
          <w:tcPr>
            <w:tcW w:w="656" w:type="dxa"/>
            <w:vMerge w:val="restart"/>
            <w:vAlign w:val="center"/>
          </w:tcPr>
          <w:p>
            <w:pPr>
              <w:widowControl/>
              <w:jc w:val="center"/>
              <w:rPr>
                <w:rFonts w:ascii="宋体" w:hAnsi="宋体" w:cs="宋体"/>
                <w:b/>
                <w:bCs/>
                <w:kern w:val="0"/>
                <w:sz w:val="22"/>
              </w:rPr>
            </w:pPr>
            <w:r>
              <w:rPr>
                <w:rFonts w:hint="eastAsia" w:ascii="宋体" w:hAnsi="宋体"/>
                <w:sz w:val="22"/>
              </w:rPr>
              <w:t>单人份投标价（元/人份）</w:t>
            </w:r>
          </w:p>
        </w:tc>
        <w:tc>
          <w:tcPr>
            <w:tcW w:w="510" w:type="dxa"/>
            <w:vMerge w:val="restart"/>
            <w:vAlign w:val="center"/>
          </w:tcPr>
          <w:p>
            <w:pPr>
              <w:spacing w:line="360" w:lineRule="auto"/>
              <w:jc w:val="center"/>
              <w:rPr>
                <w:rFonts w:ascii="宋体" w:hAnsi="宋体"/>
                <w:sz w:val="22"/>
              </w:rPr>
            </w:pPr>
            <w:r>
              <w:rPr>
                <w:rFonts w:hint="eastAsia" w:ascii="宋体" w:hAnsi="宋体"/>
                <w:sz w:val="22"/>
              </w:rPr>
              <w:t>项目收费代码</w:t>
            </w:r>
          </w:p>
        </w:tc>
        <w:tc>
          <w:tcPr>
            <w:tcW w:w="508" w:type="dxa"/>
            <w:vMerge w:val="restart"/>
            <w:vAlign w:val="center"/>
          </w:tcPr>
          <w:p>
            <w:pPr>
              <w:spacing w:line="360" w:lineRule="auto"/>
              <w:rPr>
                <w:rFonts w:ascii="宋体" w:hAnsi="宋体"/>
                <w:sz w:val="22"/>
              </w:rPr>
            </w:pPr>
            <w:r>
              <w:rPr>
                <w:rFonts w:hint="eastAsia" w:ascii="宋体" w:hAnsi="宋体"/>
                <w:sz w:val="22"/>
              </w:rPr>
              <w:t>项目收费名称</w:t>
            </w:r>
          </w:p>
        </w:tc>
        <w:tc>
          <w:tcPr>
            <w:tcW w:w="659" w:type="dxa"/>
            <w:vMerge w:val="restart"/>
            <w:vAlign w:val="center"/>
          </w:tcPr>
          <w:p>
            <w:pPr>
              <w:spacing w:line="360" w:lineRule="auto"/>
              <w:jc w:val="center"/>
              <w:rPr>
                <w:rFonts w:ascii="宋体" w:hAnsi="宋体"/>
                <w:sz w:val="22"/>
              </w:rPr>
            </w:pPr>
            <w:r>
              <w:rPr>
                <w:rFonts w:hint="eastAsia" w:ascii="宋体" w:hAnsi="宋体"/>
                <w:sz w:val="22"/>
              </w:rPr>
              <w:t>项目收费价格（元/人份）</w:t>
            </w:r>
          </w:p>
        </w:tc>
        <w:tc>
          <w:tcPr>
            <w:tcW w:w="712" w:type="dxa"/>
            <w:vMerge w:val="restart"/>
            <w:vAlign w:val="center"/>
          </w:tcPr>
          <w:p>
            <w:pPr>
              <w:widowControl/>
              <w:jc w:val="center"/>
              <w:rPr>
                <w:rFonts w:ascii="宋体" w:hAnsi="宋体" w:cs="宋体"/>
                <w:b/>
                <w:bCs/>
                <w:color w:val="000000"/>
                <w:kern w:val="0"/>
                <w:sz w:val="22"/>
              </w:rPr>
            </w:pPr>
            <w:r>
              <w:rPr>
                <w:rFonts w:hint="eastAsia" w:ascii="宋体" w:hAnsi="宋体"/>
                <w:color w:val="000000"/>
                <w:sz w:val="22"/>
              </w:rPr>
              <w:t>扣率（折扣率=单人份价/项目收费价）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trPr>
        <w:tc>
          <w:tcPr>
            <w:tcW w:w="460" w:type="dxa"/>
            <w:vMerge w:val="continue"/>
            <w:vAlign w:val="center"/>
          </w:tcPr>
          <w:p>
            <w:pPr>
              <w:spacing w:line="360" w:lineRule="auto"/>
              <w:jc w:val="center"/>
              <w:rPr>
                <w:rFonts w:ascii="宋体" w:hAnsi="宋体"/>
                <w:color w:val="000000"/>
                <w:sz w:val="22"/>
              </w:rPr>
            </w:pPr>
          </w:p>
        </w:tc>
        <w:tc>
          <w:tcPr>
            <w:tcW w:w="471" w:type="dxa"/>
            <w:vMerge w:val="continue"/>
          </w:tcPr>
          <w:p>
            <w:pPr>
              <w:widowControl/>
              <w:jc w:val="center"/>
              <w:rPr>
                <w:rFonts w:ascii="宋体" w:hAnsi="宋体"/>
                <w:color w:val="000000"/>
                <w:sz w:val="22"/>
              </w:rPr>
            </w:pPr>
          </w:p>
        </w:tc>
        <w:tc>
          <w:tcPr>
            <w:tcW w:w="471" w:type="dxa"/>
            <w:vMerge w:val="continue"/>
          </w:tcPr>
          <w:p>
            <w:pPr>
              <w:widowControl/>
              <w:jc w:val="center"/>
              <w:rPr>
                <w:rFonts w:ascii="宋体" w:hAnsi="宋体"/>
                <w:color w:val="000000"/>
                <w:sz w:val="22"/>
              </w:rPr>
            </w:pPr>
          </w:p>
        </w:tc>
        <w:tc>
          <w:tcPr>
            <w:tcW w:w="471" w:type="dxa"/>
            <w:vMerge w:val="continue"/>
            <w:vAlign w:val="center"/>
          </w:tcPr>
          <w:p>
            <w:pPr>
              <w:widowControl/>
              <w:jc w:val="center"/>
              <w:rPr>
                <w:rFonts w:ascii="宋体" w:hAnsi="宋体"/>
                <w:color w:val="000000"/>
                <w:sz w:val="22"/>
              </w:rPr>
            </w:pPr>
          </w:p>
        </w:tc>
        <w:tc>
          <w:tcPr>
            <w:tcW w:w="436" w:type="dxa"/>
            <w:vAlign w:val="center"/>
          </w:tcPr>
          <w:p>
            <w:pPr>
              <w:widowControl/>
              <w:jc w:val="center"/>
              <w:rPr>
                <w:rFonts w:ascii="宋体" w:hAnsi="宋体"/>
                <w:color w:val="000000"/>
                <w:sz w:val="22"/>
              </w:rPr>
            </w:pPr>
            <w:r>
              <w:rPr>
                <w:rFonts w:hint="eastAsia" w:ascii="宋体" w:hAnsi="宋体"/>
                <w:color w:val="000000"/>
                <w:sz w:val="22"/>
              </w:rPr>
              <w:t>主试剂</w:t>
            </w:r>
          </w:p>
        </w:tc>
        <w:tc>
          <w:tcPr>
            <w:tcW w:w="436" w:type="dxa"/>
            <w:vAlign w:val="center"/>
          </w:tcPr>
          <w:p>
            <w:pPr>
              <w:widowControl/>
              <w:jc w:val="center"/>
              <w:rPr>
                <w:rFonts w:ascii="宋体" w:hAnsi="宋体"/>
                <w:color w:val="000000"/>
                <w:sz w:val="22"/>
              </w:rPr>
            </w:pPr>
            <w:r>
              <w:rPr>
                <w:rFonts w:hint="eastAsia" w:ascii="宋体" w:hAnsi="宋体"/>
                <w:color w:val="000000"/>
                <w:sz w:val="22"/>
              </w:rPr>
              <w:t>辅助试剂</w:t>
            </w:r>
          </w:p>
        </w:tc>
        <w:tc>
          <w:tcPr>
            <w:tcW w:w="436" w:type="dxa"/>
            <w:vAlign w:val="center"/>
          </w:tcPr>
          <w:p>
            <w:pPr>
              <w:widowControl/>
              <w:jc w:val="center"/>
              <w:rPr>
                <w:rFonts w:ascii="宋体" w:hAnsi="宋体"/>
                <w:color w:val="000000"/>
                <w:sz w:val="22"/>
              </w:rPr>
            </w:pPr>
            <w:r>
              <w:rPr>
                <w:rFonts w:hint="eastAsia" w:ascii="宋体" w:hAnsi="宋体"/>
                <w:color w:val="000000"/>
                <w:sz w:val="22"/>
              </w:rPr>
              <w:t>质控品</w:t>
            </w:r>
          </w:p>
        </w:tc>
        <w:tc>
          <w:tcPr>
            <w:tcW w:w="662" w:type="dxa"/>
            <w:vMerge w:val="continue"/>
            <w:vAlign w:val="center"/>
          </w:tcPr>
          <w:p>
            <w:pPr>
              <w:widowControl/>
              <w:jc w:val="center"/>
              <w:rPr>
                <w:rFonts w:ascii="宋体" w:hAnsi="宋体"/>
                <w:color w:val="000000"/>
                <w:sz w:val="22"/>
              </w:rPr>
            </w:pPr>
          </w:p>
        </w:tc>
        <w:tc>
          <w:tcPr>
            <w:tcW w:w="609" w:type="dxa"/>
            <w:vMerge w:val="continue"/>
            <w:vAlign w:val="center"/>
          </w:tcPr>
          <w:p>
            <w:pPr>
              <w:widowControl/>
              <w:jc w:val="center"/>
              <w:rPr>
                <w:rFonts w:ascii="宋体" w:hAnsi="宋体"/>
                <w:color w:val="000000"/>
                <w:sz w:val="22"/>
              </w:rPr>
            </w:pPr>
          </w:p>
        </w:tc>
        <w:tc>
          <w:tcPr>
            <w:tcW w:w="378" w:type="dxa"/>
            <w:vMerge w:val="continue"/>
            <w:vAlign w:val="center"/>
          </w:tcPr>
          <w:p>
            <w:pPr>
              <w:widowControl/>
              <w:jc w:val="center"/>
              <w:rPr>
                <w:rFonts w:ascii="宋体" w:hAnsi="宋体"/>
                <w:color w:val="000000"/>
                <w:sz w:val="22"/>
              </w:rPr>
            </w:pPr>
          </w:p>
        </w:tc>
        <w:tc>
          <w:tcPr>
            <w:tcW w:w="662" w:type="dxa"/>
            <w:vMerge w:val="continue"/>
            <w:vAlign w:val="center"/>
          </w:tcPr>
          <w:p>
            <w:pPr>
              <w:widowControl/>
              <w:jc w:val="center"/>
              <w:rPr>
                <w:rFonts w:ascii="宋体" w:hAnsi="宋体"/>
                <w:color w:val="000000"/>
                <w:sz w:val="22"/>
              </w:rPr>
            </w:pPr>
          </w:p>
        </w:tc>
        <w:tc>
          <w:tcPr>
            <w:tcW w:w="695" w:type="dxa"/>
            <w:vMerge w:val="continue"/>
            <w:vAlign w:val="center"/>
          </w:tcPr>
          <w:p>
            <w:pPr>
              <w:widowControl/>
              <w:jc w:val="center"/>
              <w:rPr>
                <w:rFonts w:ascii="宋体" w:hAnsi="宋体"/>
                <w:color w:val="000000"/>
                <w:sz w:val="22"/>
              </w:rPr>
            </w:pPr>
          </w:p>
        </w:tc>
        <w:tc>
          <w:tcPr>
            <w:tcW w:w="656" w:type="dxa"/>
            <w:vMerge w:val="continue"/>
            <w:vAlign w:val="center"/>
          </w:tcPr>
          <w:p>
            <w:pPr>
              <w:widowControl/>
              <w:jc w:val="center"/>
              <w:rPr>
                <w:rFonts w:ascii="宋体" w:hAnsi="宋体"/>
                <w:color w:val="000000"/>
                <w:sz w:val="22"/>
              </w:rPr>
            </w:pPr>
          </w:p>
        </w:tc>
        <w:tc>
          <w:tcPr>
            <w:tcW w:w="656" w:type="dxa"/>
            <w:vMerge w:val="continue"/>
            <w:vAlign w:val="center"/>
          </w:tcPr>
          <w:p>
            <w:pPr>
              <w:widowControl/>
              <w:jc w:val="center"/>
              <w:rPr>
                <w:rFonts w:ascii="宋体" w:hAnsi="宋体"/>
                <w:color w:val="000000"/>
                <w:sz w:val="22"/>
              </w:rPr>
            </w:pPr>
          </w:p>
        </w:tc>
        <w:tc>
          <w:tcPr>
            <w:tcW w:w="510" w:type="dxa"/>
            <w:vMerge w:val="continue"/>
            <w:vAlign w:val="center"/>
          </w:tcPr>
          <w:p>
            <w:pPr>
              <w:spacing w:line="360" w:lineRule="auto"/>
              <w:jc w:val="center"/>
              <w:rPr>
                <w:rFonts w:ascii="宋体" w:hAnsi="宋体"/>
                <w:color w:val="000000"/>
                <w:sz w:val="22"/>
              </w:rPr>
            </w:pPr>
          </w:p>
        </w:tc>
        <w:tc>
          <w:tcPr>
            <w:tcW w:w="508" w:type="dxa"/>
            <w:vMerge w:val="continue"/>
            <w:vAlign w:val="center"/>
          </w:tcPr>
          <w:p>
            <w:pPr>
              <w:spacing w:line="360" w:lineRule="auto"/>
              <w:rPr>
                <w:rFonts w:ascii="宋体" w:hAnsi="宋体"/>
                <w:color w:val="000000"/>
                <w:sz w:val="22"/>
              </w:rPr>
            </w:pPr>
          </w:p>
        </w:tc>
        <w:tc>
          <w:tcPr>
            <w:tcW w:w="659" w:type="dxa"/>
            <w:vMerge w:val="continue"/>
            <w:vAlign w:val="center"/>
          </w:tcPr>
          <w:p>
            <w:pPr>
              <w:spacing w:line="360" w:lineRule="auto"/>
              <w:jc w:val="center"/>
              <w:rPr>
                <w:rFonts w:ascii="宋体" w:hAnsi="宋体"/>
                <w:color w:val="000000"/>
                <w:sz w:val="22"/>
              </w:rPr>
            </w:pPr>
          </w:p>
        </w:tc>
        <w:tc>
          <w:tcPr>
            <w:tcW w:w="712" w:type="dxa"/>
            <w:vMerge w:val="continue"/>
            <w:vAlign w:val="center"/>
          </w:tcPr>
          <w:p>
            <w:pPr>
              <w:widowControl/>
              <w:jc w:val="center"/>
              <w:rPr>
                <w:rFonts w:ascii="宋体" w:hAnsi="宋体"/>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trPr>
        <w:tc>
          <w:tcPr>
            <w:tcW w:w="460" w:type="dxa"/>
            <w:vAlign w:val="center"/>
          </w:tcPr>
          <w:p>
            <w:pPr>
              <w:spacing w:line="360" w:lineRule="auto"/>
              <w:jc w:val="center"/>
              <w:rPr>
                <w:rFonts w:ascii="宋体" w:hAnsi="宋体"/>
                <w:color w:val="000000"/>
                <w:sz w:val="22"/>
              </w:rPr>
            </w:pPr>
            <w:r>
              <w:rPr>
                <w:rFonts w:hint="eastAsia" w:ascii="宋体" w:hAnsi="宋体"/>
                <w:color w:val="000000"/>
                <w:sz w:val="22"/>
              </w:rPr>
              <w:t>1</w:t>
            </w:r>
          </w:p>
        </w:tc>
        <w:tc>
          <w:tcPr>
            <w:tcW w:w="471" w:type="dxa"/>
          </w:tcPr>
          <w:p>
            <w:pPr>
              <w:widowControl/>
              <w:jc w:val="center"/>
              <w:rPr>
                <w:rFonts w:ascii="宋体" w:hAnsi="宋体"/>
                <w:color w:val="000000"/>
                <w:sz w:val="22"/>
              </w:rPr>
            </w:pPr>
          </w:p>
        </w:tc>
        <w:tc>
          <w:tcPr>
            <w:tcW w:w="471" w:type="dxa"/>
          </w:tcPr>
          <w:p>
            <w:pPr>
              <w:widowControl/>
              <w:jc w:val="center"/>
              <w:rPr>
                <w:rFonts w:ascii="宋体" w:hAnsi="宋体"/>
                <w:color w:val="000000"/>
                <w:sz w:val="22"/>
              </w:rPr>
            </w:pPr>
          </w:p>
        </w:tc>
        <w:tc>
          <w:tcPr>
            <w:tcW w:w="471" w:type="dxa"/>
            <w:vAlign w:val="center"/>
          </w:tcPr>
          <w:p>
            <w:pPr>
              <w:widowControl/>
              <w:jc w:val="center"/>
              <w:rPr>
                <w:rFonts w:ascii="宋体" w:hAnsi="宋体"/>
                <w:color w:val="000000"/>
                <w:sz w:val="22"/>
              </w:rPr>
            </w:pPr>
          </w:p>
        </w:tc>
        <w:tc>
          <w:tcPr>
            <w:tcW w:w="436" w:type="dxa"/>
          </w:tcPr>
          <w:p>
            <w:pPr>
              <w:widowControl/>
              <w:jc w:val="center"/>
              <w:rPr>
                <w:rFonts w:ascii="宋体" w:hAnsi="宋体"/>
                <w:color w:val="000000"/>
                <w:sz w:val="22"/>
              </w:rPr>
            </w:pPr>
          </w:p>
        </w:tc>
        <w:tc>
          <w:tcPr>
            <w:tcW w:w="436" w:type="dxa"/>
          </w:tcPr>
          <w:p>
            <w:pPr>
              <w:widowControl/>
              <w:jc w:val="center"/>
              <w:rPr>
                <w:rFonts w:ascii="宋体" w:hAnsi="宋体"/>
                <w:color w:val="000000"/>
                <w:sz w:val="22"/>
              </w:rPr>
            </w:pPr>
          </w:p>
        </w:tc>
        <w:tc>
          <w:tcPr>
            <w:tcW w:w="436" w:type="dxa"/>
          </w:tcPr>
          <w:p>
            <w:pPr>
              <w:widowControl/>
              <w:jc w:val="center"/>
              <w:rPr>
                <w:rFonts w:ascii="宋体" w:hAnsi="宋体"/>
                <w:color w:val="000000"/>
                <w:sz w:val="22"/>
              </w:rPr>
            </w:pPr>
          </w:p>
        </w:tc>
        <w:tc>
          <w:tcPr>
            <w:tcW w:w="662" w:type="dxa"/>
            <w:vAlign w:val="center"/>
          </w:tcPr>
          <w:p>
            <w:pPr>
              <w:widowControl/>
              <w:jc w:val="center"/>
              <w:rPr>
                <w:rFonts w:ascii="宋体" w:hAnsi="宋体"/>
                <w:color w:val="000000"/>
                <w:sz w:val="22"/>
              </w:rPr>
            </w:pPr>
          </w:p>
        </w:tc>
        <w:tc>
          <w:tcPr>
            <w:tcW w:w="609" w:type="dxa"/>
            <w:vAlign w:val="center"/>
          </w:tcPr>
          <w:p>
            <w:pPr>
              <w:widowControl/>
              <w:jc w:val="center"/>
              <w:rPr>
                <w:rFonts w:ascii="宋体" w:hAnsi="宋体"/>
                <w:color w:val="000000"/>
                <w:sz w:val="22"/>
              </w:rPr>
            </w:pPr>
          </w:p>
        </w:tc>
        <w:tc>
          <w:tcPr>
            <w:tcW w:w="378" w:type="dxa"/>
            <w:vAlign w:val="center"/>
          </w:tcPr>
          <w:p>
            <w:pPr>
              <w:widowControl/>
              <w:jc w:val="center"/>
              <w:rPr>
                <w:rFonts w:ascii="宋体" w:hAnsi="宋体"/>
                <w:color w:val="000000"/>
                <w:sz w:val="22"/>
              </w:rPr>
            </w:pPr>
          </w:p>
        </w:tc>
        <w:tc>
          <w:tcPr>
            <w:tcW w:w="662" w:type="dxa"/>
            <w:vAlign w:val="center"/>
          </w:tcPr>
          <w:p>
            <w:pPr>
              <w:widowControl/>
              <w:jc w:val="center"/>
              <w:rPr>
                <w:rFonts w:ascii="宋体" w:hAnsi="宋体"/>
                <w:color w:val="000000"/>
                <w:sz w:val="22"/>
              </w:rPr>
            </w:pPr>
          </w:p>
        </w:tc>
        <w:tc>
          <w:tcPr>
            <w:tcW w:w="695" w:type="dxa"/>
            <w:vAlign w:val="center"/>
          </w:tcPr>
          <w:p>
            <w:pPr>
              <w:widowControl/>
              <w:jc w:val="center"/>
              <w:rPr>
                <w:rFonts w:ascii="宋体" w:hAnsi="宋体" w:cs="宋体"/>
                <w:b/>
                <w:bCs/>
                <w:color w:val="000000"/>
                <w:kern w:val="0"/>
                <w:sz w:val="22"/>
              </w:rPr>
            </w:pPr>
          </w:p>
        </w:tc>
        <w:tc>
          <w:tcPr>
            <w:tcW w:w="656" w:type="dxa"/>
            <w:vAlign w:val="center"/>
          </w:tcPr>
          <w:p>
            <w:pPr>
              <w:widowControl/>
              <w:jc w:val="center"/>
              <w:rPr>
                <w:rFonts w:ascii="宋体" w:hAnsi="宋体" w:cs="宋体"/>
                <w:b/>
                <w:bCs/>
                <w:color w:val="000000"/>
                <w:kern w:val="0"/>
                <w:sz w:val="22"/>
              </w:rPr>
            </w:pPr>
          </w:p>
        </w:tc>
        <w:tc>
          <w:tcPr>
            <w:tcW w:w="656" w:type="dxa"/>
            <w:vAlign w:val="center"/>
          </w:tcPr>
          <w:p>
            <w:pPr>
              <w:widowControl/>
              <w:jc w:val="center"/>
              <w:rPr>
                <w:rFonts w:ascii="宋体" w:hAnsi="宋体" w:cs="宋体"/>
                <w:b/>
                <w:bCs/>
                <w:color w:val="000000"/>
                <w:kern w:val="0"/>
                <w:sz w:val="22"/>
              </w:rPr>
            </w:pPr>
          </w:p>
        </w:tc>
        <w:tc>
          <w:tcPr>
            <w:tcW w:w="510" w:type="dxa"/>
            <w:vAlign w:val="center"/>
          </w:tcPr>
          <w:p>
            <w:pPr>
              <w:spacing w:line="360" w:lineRule="auto"/>
              <w:jc w:val="center"/>
              <w:rPr>
                <w:rFonts w:ascii="宋体" w:hAnsi="宋体"/>
                <w:color w:val="000000"/>
                <w:sz w:val="22"/>
              </w:rPr>
            </w:pPr>
          </w:p>
        </w:tc>
        <w:tc>
          <w:tcPr>
            <w:tcW w:w="508" w:type="dxa"/>
            <w:vAlign w:val="center"/>
          </w:tcPr>
          <w:p>
            <w:pPr>
              <w:spacing w:line="360" w:lineRule="auto"/>
              <w:rPr>
                <w:rFonts w:ascii="宋体" w:hAnsi="宋体"/>
                <w:color w:val="000000"/>
                <w:sz w:val="22"/>
              </w:rPr>
            </w:pPr>
          </w:p>
        </w:tc>
        <w:tc>
          <w:tcPr>
            <w:tcW w:w="659" w:type="dxa"/>
            <w:vAlign w:val="center"/>
          </w:tcPr>
          <w:p>
            <w:pPr>
              <w:spacing w:line="360" w:lineRule="auto"/>
              <w:jc w:val="center"/>
              <w:rPr>
                <w:rFonts w:ascii="宋体" w:hAnsi="宋体"/>
                <w:color w:val="000000"/>
                <w:sz w:val="22"/>
              </w:rPr>
            </w:pPr>
          </w:p>
        </w:tc>
        <w:tc>
          <w:tcPr>
            <w:tcW w:w="712" w:type="dxa"/>
            <w:vAlign w:val="center"/>
          </w:tcPr>
          <w:p>
            <w:pPr>
              <w:widowControl/>
              <w:jc w:val="center"/>
              <w:rPr>
                <w:rFonts w:ascii="宋体" w:hAnsi="宋体" w:cs="宋体"/>
                <w:b/>
                <w:bCs/>
                <w:color w:val="000000"/>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trPr>
        <w:tc>
          <w:tcPr>
            <w:tcW w:w="460" w:type="dxa"/>
            <w:vAlign w:val="center"/>
          </w:tcPr>
          <w:p>
            <w:pPr>
              <w:spacing w:line="360" w:lineRule="auto"/>
              <w:jc w:val="center"/>
              <w:rPr>
                <w:rFonts w:ascii="宋体" w:hAnsi="宋体"/>
                <w:color w:val="000000"/>
                <w:sz w:val="22"/>
              </w:rPr>
            </w:pPr>
            <w:r>
              <w:rPr>
                <w:rFonts w:hint="eastAsia" w:ascii="宋体" w:hAnsi="宋体"/>
                <w:color w:val="000000"/>
                <w:sz w:val="22"/>
              </w:rPr>
              <w:t>2</w:t>
            </w:r>
          </w:p>
        </w:tc>
        <w:tc>
          <w:tcPr>
            <w:tcW w:w="471" w:type="dxa"/>
          </w:tcPr>
          <w:p>
            <w:pPr>
              <w:spacing w:line="360" w:lineRule="auto"/>
              <w:jc w:val="center"/>
              <w:rPr>
                <w:rFonts w:ascii="宋体" w:hAnsi="宋体"/>
                <w:color w:val="000000"/>
                <w:sz w:val="22"/>
              </w:rPr>
            </w:pPr>
          </w:p>
        </w:tc>
        <w:tc>
          <w:tcPr>
            <w:tcW w:w="471" w:type="dxa"/>
          </w:tcPr>
          <w:p>
            <w:pPr>
              <w:spacing w:line="360" w:lineRule="auto"/>
              <w:jc w:val="center"/>
              <w:rPr>
                <w:rFonts w:ascii="宋体" w:hAnsi="宋体"/>
                <w:color w:val="000000"/>
                <w:sz w:val="22"/>
              </w:rPr>
            </w:pPr>
          </w:p>
        </w:tc>
        <w:tc>
          <w:tcPr>
            <w:tcW w:w="471" w:type="dxa"/>
            <w:vAlign w:val="center"/>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662" w:type="dxa"/>
            <w:vAlign w:val="center"/>
          </w:tcPr>
          <w:p>
            <w:pPr>
              <w:spacing w:line="360" w:lineRule="auto"/>
              <w:jc w:val="center"/>
              <w:rPr>
                <w:rFonts w:ascii="宋体" w:hAnsi="宋体"/>
                <w:color w:val="000000"/>
                <w:sz w:val="22"/>
              </w:rPr>
            </w:pPr>
          </w:p>
        </w:tc>
        <w:tc>
          <w:tcPr>
            <w:tcW w:w="609" w:type="dxa"/>
          </w:tcPr>
          <w:p>
            <w:pPr>
              <w:spacing w:line="360" w:lineRule="auto"/>
              <w:jc w:val="center"/>
              <w:rPr>
                <w:rFonts w:ascii="宋体" w:hAnsi="宋体"/>
                <w:color w:val="000000"/>
                <w:sz w:val="22"/>
              </w:rPr>
            </w:pPr>
          </w:p>
        </w:tc>
        <w:tc>
          <w:tcPr>
            <w:tcW w:w="378" w:type="dxa"/>
          </w:tcPr>
          <w:p>
            <w:pPr>
              <w:spacing w:line="360" w:lineRule="auto"/>
              <w:jc w:val="center"/>
              <w:rPr>
                <w:rFonts w:ascii="宋体" w:hAnsi="宋体"/>
                <w:color w:val="000000"/>
                <w:sz w:val="22"/>
              </w:rPr>
            </w:pPr>
          </w:p>
        </w:tc>
        <w:tc>
          <w:tcPr>
            <w:tcW w:w="662" w:type="dxa"/>
            <w:vAlign w:val="center"/>
          </w:tcPr>
          <w:p>
            <w:pPr>
              <w:spacing w:line="360" w:lineRule="auto"/>
              <w:jc w:val="center"/>
              <w:rPr>
                <w:rFonts w:ascii="宋体" w:hAnsi="宋体"/>
                <w:color w:val="000000"/>
                <w:sz w:val="22"/>
              </w:rPr>
            </w:pPr>
          </w:p>
        </w:tc>
        <w:tc>
          <w:tcPr>
            <w:tcW w:w="695" w:type="dxa"/>
          </w:tcPr>
          <w:p>
            <w:pPr>
              <w:spacing w:line="360" w:lineRule="auto"/>
              <w:jc w:val="center"/>
              <w:rPr>
                <w:rFonts w:ascii="宋体" w:hAnsi="宋体"/>
                <w:color w:val="000000"/>
                <w:sz w:val="22"/>
              </w:rPr>
            </w:pPr>
          </w:p>
        </w:tc>
        <w:tc>
          <w:tcPr>
            <w:tcW w:w="656" w:type="dxa"/>
            <w:vAlign w:val="center"/>
          </w:tcPr>
          <w:p>
            <w:pPr>
              <w:spacing w:line="360" w:lineRule="auto"/>
              <w:jc w:val="center"/>
              <w:rPr>
                <w:rFonts w:ascii="宋体" w:hAnsi="宋体"/>
                <w:color w:val="000000"/>
                <w:sz w:val="22"/>
              </w:rPr>
            </w:pPr>
          </w:p>
        </w:tc>
        <w:tc>
          <w:tcPr>
            <w:tcW w:w="656" w:type="dxa"/>
          </w:tcPr>
          <w:p>
            <w:pPr>
              <w:spacing w:line="360" w:lineRule="auto"/>
              <w:jc w:val="center"/>
              <w:rPr>
                <w:rFonts w:ascii="宋体" w:hAnsi="宋体"/>
                <w:color w:val="000000"/>
                <w:sz w:val="22"/>
              </w:rPr>
            </w:pPr>
          </w:p>
        </w:tc>
        <w:tc>
          <w:tcPr>
            <w:tcW w:w="510" w:type="dxa"/>
            <w:vAlign w:val="center"/>
          </w:tcPr>
          <w:p>
            <w:pPr>
              <w:widowControl/>
              <w:jc w:val="center"/>
              <w:rPr>
                <w:rFonts w:ascii="宋体" w:hAnsi="宋体" w:cs="宋体"/>
                <w:b/>
                <w:bCs/>
                <w:color w:val="000000"/>
                <w:kern w:val="0"/>
                <w:sz w:val="22"/>
              </w:rPr>
            </w:pPr>
          </w:p>
        </w:tc>
        <w:tc>
          <w:tcPr>
            <w:tcW w:w="508" w:type="dxa"/>
            <w:vAlign w:val="center"/>
          </w:tcPr>
          <w:p>
            <w:pPr>
              <w:widowControl/>
              <w:jc w:val="center"/>
              <w:rPr>
                <w:rFonts w:ascii="宋体" w:hAnsi="宋体" w:cs="宋体"/>
                <w:b/>
                <w:bCs/>
                <w:color w:val="000000"/>
                <w:kern w:val="0"/>
                <w:sz w:val="22"/>
              </w:rPr>
            </w:pPr>
          </w:p>
        </w:tc>
        <w:tc>
          <w:tcPr>
            <w:tcW w:w="659" w:type="dxa"/>
          </w:tcPr>
          <w:p>
            <w:pPr>
              <w:spacing w:line="360" w:lineRule="auto"/>
              <w:jc w:val="center"/>
              <w:rPr>
                <w:rFonts w:ascii="宋体" w:hAnsi="宋体"/>
                <w:color w:val="000000"/>
                <w:sz w:val="22"/>
              </w:rPr>
            </w:pPr>
          </w:p>
        </w:tc>
        <w:tc>
          <w:tcPr>
            <w:tcW w:w="712" w:type="dxa"/>
            <w:vAlign w:val="center"/>
          </w:tcPr>
          <w:p>
            <w:pPr>
              <w:spacing w:line="360" w:lineRule="auto"/>
              <w:jc w:val="center"/>
              <w:rPr>
                <w:rFonts w:ascii="宋体" w:hAnsi="宋体"/>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trPr>
        <w:tc>
          <w:tcPr>
            <w:tcW w:w="460" w:type="dxa"/>
            <w:vAlign w:val="center"/>
          </w:tcPr>
          <w:p>
            <w:pPr>
              <w:spacing w:line="360" w:lineRule="auto"/>
              <w:jc w:val="center"/>
              <w:rPr>
                <w:rFonts w:ascii="宋体" w:hAnsi="宋体"/>
                <w:color w:val="000000"/>
                <w:sz w:val="22"/>
              </w:rPr>
            </w:pPr>
            <w:r>
              <w:rPr>
                <w:rFonts w:ascii="宋体" w:hAnsi="宋体"/>
                <w:color w:val="000000"/>
                <w:sz w:val="22"/>
              </w:rPr>
              <w:t>…</w:t>
            </w:r>
          </w:p>
        </w:tc>
        <w:tc>
          <w:tcPr>
            <w:tcW w:w="471" w:type="dxa"/>
          </w:tcPr>
          <w:p>
            <w:pPr>
              <w:spacing w:line="360" w:lineRule="auto"/>
              <w:jc w:val="center"/>
              <w:rPr>
                <w:rFonts w:ascii="宋体" w:hAnsi="宋体"/>
                <w:color w:val="000000"/>
                <w:sz w:val="22"/>
              </w:rPr>
            </w:pPr>
          </w:p>
        </w:tc>
        <w:tc>
          <w:tcPr>
            <w:tcW w:w="471" w:type="dxa"/>
          </w:tcPr>
          <w:p>
            <w:pPr>
              <w:spacing w:line="360" w:lineRule="auto"/>
              <w:jc w:val="center"/>
              <w:rPr>
                <w:rFonts w:ascii="宋体" w:hAnsi="宋体"/>
                <w:color w:val="000000"/>
                <w:sz w:val="22"/>
              </w:rPr>
            </w:pPr>
          </w:p>
        </w:tc>
        <w:tc>
          <w:tcPr>
            <w:tcW w:w="471" w:type="dxa"/>
            <w:vAlign w:val="center"/>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662" w:type="dxa"/>
            <w:vAlign w:val="center"/>
          </w:tcPr>
          <w:p>
            <w:pPr>
              <w:spacing w:line="360" w:lineRule="auto"/>
              <w:jc w:val="center"/>
              <w:rPr>
                <w:rFonts w:ascii="宋体" w:hAnsi="宋体"/>
                <w:color w:val="000000"/>
                <w:sz w:val="22"/>
              </w:rPr>
            </w:pPr>
          </w:p>
        </w:tc>
        <w:tc>
          <w:tcPr>
            <w:tcW w:w="609" w:type="dxa"/>
          </w:tcPr>
          <w:p>
            <w:pPr>
              <w:spacing w:line="360" w:lineRule="auto"/>
              <w:jc w:val="center"/>
              <w:rPr>
                <w:rFonts w:ascii="宋体" w:hAnsi="宋体"/>
                <w:color w:val="000000"/>
                <w:sz w:val="22"/>
              </w:rPr>
            </w:pPr>
          </w:p>
        </w:tc>
        <w:tc>
          <w:tcPr>
            <w:tcW w:w="378" w:type="dxa"/>
          </w:tcPr>
          <w:p>
            <w:pPr>
              <w:spacing w:line="360" w:lineRule="auto"/>
              <w:jc w:val="center"/>
              <w:rPr>
                <w:rFonts w:ascii="宋体" w:hAnsi="宋体"/>
                <w:color w:val="000000"/>
                <w:sz w:val="22"/>
              </w:rPr>
            </w:pPr>
          </w:p>
        </w:tc>
        <w:tc>
          <w:tcPr>
            <w:tcW w:w="662" w:type="dxa"/>
            <w:vAlign w:val="center"/>
          </w:tcPr>
          <w:p>
            <w:pPr>
              <w:spacing w:line="360" w:lineRule="auto"/>
              <w:jc w:val="center"/>
              <w:rPr>
                <w:rFonts w:ascii="宋体" w:hAnsi="宋体"/>
                <w:color w:val="000000"/>
                <w:sz w:val="22"/>
              </w:rPr>
            </w:pPr>
          </w:p>
        </w:tc>
        <w:tc>
          <w:tcPr>
            <w:tcW w:w="695" w:type="dxa"/>
          </w:tcPr>
          <w:p>
            <w:pPr>
              <w:spacing w:line="360" w:lineRule="auto"/>
              <w:jc w:val="center"/>
              <w:rPr>
                <w:rFonts w:ascii="宋体" w:hAnsi="宋体"/>
                <w:color w:val="000000"/>
                <w:sz w:val="22"/>
              </w:rPr>
            </w:pPr>
          </w:p>
        </w:tc>
        <w:tc>
          <w:tcPr>
            <w:tcW w:w="656" w:type="dxa"/>
            <w:vAlign w:val="center"/>
          </w:tcPr>
          <w:p>
            <w:pPr>
              <w:spacing w:line="360" w:lineRule="auto"/>
              <w:jc w:val="center"/>
              <w:rPr>
                <w:rFonts w:ascii="宋体" w:hAnsi="宋体"/>
                <w:color w:val="000000"/>
                <w:sz w:val="22"/>
              </w:rPr>
            </w:pPr>
          </w:p>
        </w:tc>
        <w:tc>
          <w:tcPr>
            <w:tcW w:w="656" w:type="dxa"/>
          </w:tcPr>
          <w:p>
            <w:pPr>
              <w:spacing w:line="360" w:lineRule="auto"/>
              <w:jc w:val="center"/>
              <w:rPr>
                <w:rFonts w:ascii="宋体" w:hAnsi="宋体"/>
                <w:color w:val="000000"/>
                <w:sz w:val="22"/>
              </w:rPr>
            </w:pPr>
          </w:p>
        </w:tc>
        <w:tc>
          <w:tcPr>
            <w:tcW w:w="510" w:type="dxa"/>
            <w:vAlign w:val="center"/>
          </w:tcPr>
          <w:p>
            <w:pPr>
              <w:spacing w:line="360" w:lineRule="auto"/>
              <w:jc w:val="center"/>
              <w:rPr>
                <w:rFonts w:ascii="宋体" w:hAnsi="宋体"/>
                <w:color w:val="000000"/>
                <w:sz w:val="22"/>
              </w:rPr>
            </w:pPr>
          </w:p>
        </w:tc>
        <w:tc>
          <w:tcPr>
            <w:tcW w:w="508" w:type="dxa"/>
            <w:vAlign w:val="center"/>
          </w:tcPr>
          <w:p>
            <w:pPr>
              <w:spacing w:line="360" w:lineRule="auto"/>
              <w:jc w:val="center"/>
              <w:rPr>
                <w:rFonts w:ascii="宋体" w:hAnsi="宋体"/>
                <w:color w:val="000000"/>
                <w:sz w:val="22"/>
              </w:rPr>
            </w:pPr>
          </w:p>
        </w:tc>
        <w:tc>
          <w:tcPr>
            <w:tcW w:w="659" w:type="dxa"/>
          </w:tcPr>
          <w:p>
            <w:pPr>
              <w:spacing w:line="360" w:lineRule="auto"/>
              <w:jc w:val="center"/>
              <w:rPr>
                <w:rFonts w:ascii="宋体" w:hAnsi="宋体"/>
                <w:color w:val="000000"/>
                <w:sz w:val="22"/>
              </w:rPr>
            </w:pPr>
          </w:p>
        </w:tc>
        <w:tc>
          <w:tcPr>
            <w:tcW w:w="712" w:type="dxa"/>
            <w:vAlign w:val="center"/>
          </w:tcPr>
          <w:p>
            <w:pPr>
              <w:spacing w:line="360" w:lineRule="auto"/>
              <w:jc w:val="center"/>
              <w:rPr>
                <w:rFonts w:ascii="宋体" w:hAnsi="宋体"/>
                <w:color w:val="000000"/>
                <w:sz w:val="22"/>
              </w:rPr>
            </w:pPr>
          </w:p>
        </w:tc>
      </w:tr>
    </w:tbl>
    <w:p>
      <w:pPr>
        <w:widowControl/>
        <w:wordWrap w:val="0"/>
        <w:spacing w:line="193" w:lineRule="atLeast"/>
        <w:rPr>
          <w:rFonts w:ascii="宋体" w:hAnsi="宋体" w:eastAsia="宋体" w:cs="宋体"/>
          <w:kern w:val="0"/>
          <w:szCs w:val="21"/>
        </w:rPr>
      </w:pPr>
    </w:p>
    <w:p>
      <w:pPr>
        <w:widowControl/>
        <w:wordWrap w:val="0"/>
        <w:spacing w:line="193" w:lineRule="atLeast"/>
        <w:rPr>
          <w:rFonts w:ascii="Calibri" w:hAnsi="Calibri" w:eastAsia="微软雅黑" w:cs="宋体"/>
          <w:kern w:val="0"/>
          <w:szCs w:val="21"/>
        </w:rPr>
      </w:pPr>
      <w:r>
        <w:rPr>
          <w:rFonts w:hint="eastAsia" w:ascii="宋体" w:hAnsi="宋体" w:eastAsia="宋体" w:cs="宋体"/>
          <w:kern w:val="0"/>
          <w:szCs w:val="21"/>
        </w:rPr>
        <w:t>四、医院将本着公开、公正、合理的原则给各供应商提供公平竞争的机会，各供应商不得提供虚假材料或者诽谤排挤其他供应商。严禁采用不正当方法了解采购信息或挤压当事人，或与采购人员以及供应商相互之间不负责任的串通消息。在整个过程中不允许对院内任何部门任何人许愿条件。</w:t>
      </w:r>
    </w:p>
    <w:p>
      <w:pPr>
        <w:widowControl/>
        <w:wordWrap w:val="0"/>
        <w:spacing w:line="193" w:lineRule="atLeast"/>
        <w:rPr>
          <w:rFonts w:ascii="Calibri" w:hAnsi="Calibri" w:eastAsia="微软雅黑" w:cs="宋体"/>
          <w:kern w:val="0"/>
          <w:szCs w:val="21"/>
        </w:rPr>
      </w:pPr>
      <w:r>
        <w:rPr>
          <w:rFonts w:hint="eastAsia" w:ascii="宋体" w:hAnsi="宋体" w:eastAsia="宋体" w:cs="宋体"/>
          <w:kern w:val="0"/>
          <w:szCs w:val="21"/>
        </w:rPr>
        <w:t>五、资料准备：公司（企业）营业执照、生产（经营）许可证、厂商授权书、法人代表授权书、医疗器械产品注册证、上海市收费信息、报价单、产品质量保证书，提供”信用中国”查询结果截图及其他一切有效证书的复印件，加盖公司公章。所有资料必须以档案袋密封,</w:t>
      </w:r>
      <w:r>
        <w:rPr>
          <w:rFonts w:hint="eastAsia" w:ascii="宋体" w:hAnsi="宋体" w:eastAsia="宋体" w:cs="宋体"/>
          <w:kern w:val="0"/>
          <w:sz w:val="23"/>
          <w:szCs w:val="23"/>
          <w:shd w:val="clear" w:color="auto" w:fill="FFFFFF"/>
        </w:rPr>
        <w:t>密封处加盖公司骑缝公章</w:t>
      </w:r>
      <w:r>
        <w:rPr>
          <w:rFonts w:hint="eastAsia" w:ascii="宋体" w:hAnsi="宋体" w:eastAsia="宋体" w:cs="宋体"/>
          <w:kern w:val="0"/>
          <w:szCs w:val="21"/>
        </w:rPr>
        <w:t>,且</w:t>
      </w:r>
      <w:r>
        <w:rPr>
          <w:rFonts w:hint="eastAsia" w:ascii="宋体" w:hAnsi="宋体" w:eastAsia="宋体" w:cs="宋体"/>
          <w:kern w:val="0"/>
          <w:sz w:val="23"/>
          <w:szCs w:val="23"/>
          <w:shd w:val="clear" w:color="auto" w:fill="FFFFFF"/>
        </w:rPr>
        <w:t>非格式报价单、开口报价单均无效</w:t>
      </w:r>
      <w:r>
        <w:rPr>
          <w:rFonts w:ascii="Tahoma" w:hAnsi="Tahoma" w:eastAsia="微软雅黑" w:cs="Tahoma"/>
          <w:kern w:val="0"/>
          <w:sz w:val="23"/>
          <w:szCs w:val="23"/>
          <w:shd w:val="clear" w:color="auto" w:fill="FFFFFF"/>
        </w:rPr>
        <w:t>,</w:t>
      </w:r>
      <w:r>
        <w:rPr>
          <w:rFonts w:hint="eastAsia" w:ascii="宋体" w:hAnsi="宋体" w:eastAsia="宋体" w:cs="宋体"/>
          <w:kern w:val="0"/>
          <w:sz w:val="23"/>
          <w:szCs w:val="23"/>
          <w:shd w:val="clear" w:color="auto" w:fill="FFFFFF"/>
        </w:rPr>
        <w:t>不符合以上要求的资料一律作为无效资料处理</w:t>
      </w:r>
      <w:r>
        <w:rPr>
          <w:rFonts w:ascii="Tahoma" w:hAnsi="Tahoma" w:eastAsia="微软雅黑" w:cs="Tahoma"/>
          <w:kern w:val="0"/>
          <w:sz w:val="23"/>
          <w:szCs w:val="23"/>
          <w:shd w:val="clear" w:color="auto" w:fill="FFFFFF"/>
        </w:rPr>
        <w:t>,</w:t>
      </w:r>
      <w:r>
        <w:rPr>
          <w:rFonts w:hint="eastAsia" w:ascii="宋体" w:hAnsi="宋体" w:eastAsia="宋体" w:cs="宋体"/>
          <w:kern w:val="0"/>
          <w:sz w:val="23"/>
          <w:szCs w:val="23"/>
          <w:shd w:val="clear" w:color="auto" w:fill="FFFFFF"/>
        </w:rPr>
        <w:t>不具备遴选资格</w:t>
      </w:r>
      <w:r>
        <w:rPr>
          <w:rFonts w:hint="eastAsia" w:ascii="宋体" w:hAnsi="宋体" w:eastAsia="宋体" w:cs="宋体"/>
          <w:kern w:val="0"/>
          <w:szCs w:val="21"/>
        </w:rPr>
        <w:t>。</w:t>
      </w:r>
    </w:p>
    <w:p>
      <w:pPr>
        <w:widowControl/>
        <w:wordWrap w:val="0"/>
        <w:spacing w:line="193" w:lineRule="atLeast"/>
        <w:rPr>
          <w:rFonts w:ascii="Calibri" w:hAnsi="Calibri" w:eastAsia="微软雅黑" w:cs="宋体"/>
          <w:kern w:val="0"/>
          <w:szCs w:val="21"/>
        </w:rPr>
      </w:pPr>
      <w:r>
        <w:rPr>
          <w:rFonts w:hint="eastAsia" w:ascii="宋体" w:hAnsi="宋体" w:eastAsia="宋体" w:cs="宋体"/>
          <w:kern w:val="0"/>
          <w:szCs w:val="21"/>
        </w:rPr>
        <w:t>六、供应期限：遴选最终确定的产品，供应产品质量及服务达到要求的，供应期限为36个月。</w:t>
      </w:r>
    </w:p>
    <w:p>
      <w:pPr>
        <w:widowControl/>
        <w:wordWrap w:val="0"/>
        <w:spacing w:line="193" w:lineRule="atLeast"/>
        <w:rPr>
          <w:rFonts w:ascii="Calibri" w:hAnsi="Calibri" w:eastAsia="微软雅黑" w:cs="宋体"/>
          <w:kern w:val="0"/>
          <w:szCs w:val="21"/>
        </w:rPr>
      </w:pPr>
      <w:r>
        <w:rPr>
          <w:rFonts w:hint="eastAsia" w:ascii="宋体" w:hAnsi="宋体" w:eastAsia="宋体" w:cs="宋体"/>
          <w:kern w:val="0"/>
          <w:szCs w:val="21"/>
        </w:rPr>
        <w:t>七、付款周期：对账日期后3个月。</w:t>
      </w:r>
    </w:p>
    <w:p>
      <w:pPr>
        <w:widowControl/>
        <w:wordWrap w:val="0"/>
        <w:spacing w:line="193" w:lineRule="atLeast"/>
        <w:rPr>
          <w:rFonts w:ascii="Calibri" w:hAnsi="Calibri" w:eastAsia="微软雅黑" w:cs="宋体"/>
          <w:kern w:val="0"/>
          <w:szCs w:val="21"/>
        </w:rPr>
      </w:pPr>
      <w:r>
        <w:rPr>
          <w:rFonts w:hint="eastAsia" w:ascii="宋体" w:hAnsi="宋体" w:eastAsia="宋体" w:cs="宋体"/>
          <w:kern w:val="0"/>
          <w:szCs w:val="21"/>
        </w:rPr>
        <w:t>八、特别备注：由于遴选试剂不能单独完成应用或检测要求的，或与甲方现有设备不相兼容的，经双方协商，乙方需提供完成检查检测的相关设备及附件。</w:t>
      </w:r>
    </w:p>
    <w:p>
      <w:pPr>
        <w:widowControl/>
        <w:wordWrap w:val="0"/>
        <w:spacing w:line="193" w:lineRule="atLeast"/>
        <w:rPr>
          <w:rFonts w:ascii="Calibri" w:hAnsi="Calibri" w:eastAsia="微软雅黑" w:cs="宋体"/>
          <w:kern w:val="0"/>
          <w:szCs w:val="21"/>
        </w:rPr>
      </w:pPr>
      <w:r>
        <w:rPr>
          <w:rFonts w:ascii="Calibri" w:hAnsi="Calibri" w:eastAsia="微软雅黑" w:cs="宋体"/>
          <w:kern w:val="0"/>
          <w:szCs w:val="21"/>
        </w:rPr>
        <w:t> </w:t>
      </w:r>
    </w:p>
    <w:p>
      <w:pPr>
        <w:widowControl/>
        <w:wordWrap w:val="0"/>
        <w:spacing w:line="193" w:lineRule="atLeast"/>
        <w:ind w:firstLine="482" w:firstLineChars="200"/>
        <w:rPr>
          <w:rFonts w:ascii="Calibri" w:hAnsi="Calibri" w:eastAsia="宋体" w:cs="宋体"/>
          <w:b/>
          <w:bCs/>
          <w:color w:val="333333"/>
          <w:kern w:val="0"/>
          <w:sz w:val="24"/>
          <w:szCs w:val="24"/>
        </w:rPr>
      </w:pPr>
      <w:r>
        <w:rPr>
          <w:rFonts w:hint="eastAsia" w:ascii="宋体" w:hAnsi="宋体" w:eastAsia="宋体" w:cs="宋体"/>
          <w:b/>
          <w:bCs/>
          <w:color w:val="000000"/>
          <w:kern w:val="0"/>
          <w:sz w:val="24"/>
          <w:szCs w:val="24"/>
        </w:rPr>
        <w:t>资料提交截止时间。</w:t>
      </w:r>
    </w:p>
    <w:p>
      <w:pPr>
        <w:widowControl/>
        <w:wordWrap w:val="0"/>
        <w:spacing w:line="193" w:lineRule="atLeas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开标日期：2021年5月18日，北京时间：15:00</w:t>
      </w:r>
    </w:p>
    <w:p>
      <w:pPr>
        <w:widowControl/>
        <w:wordWrap w:val="0"/>
        <w:spacing w:line="193" w:lineRule="atLeas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开标地点：上海市泸定路355号住院部503会议室</w:t>
      </w:r>
    </w:p>
    <w:p>
      <w:pPr>
        <w:widowControl/>
        <w:wordWrap w:val="0"/>
        <w:spacing w:line="193" w:lineRule="atLeast"/>
        <w:ind w:firstLine="480" w:firstLineChars="200"/>
        <w:rPr>
          <w:color w:val="FF0000"/>
          <w:sz w:val="24"/>
          <w:szCs w:val="24"/>
        </w:rPr>
      </w:pPr>
      <w:r>
        <w:rPr>
          <w:rFonts w:hint="eastAsia"/>
          <w:color w:val="FF0000"/>
          <w:sz w:val="24"/>
          <w:szCs w:val="24"/>
        </w:rPr>
        <w:t>★注意事项：</w:t>
      </w:r>
    </w:p>
    <w:p>
      <w:pPr>
        <w:widowControl/>
        <w:wordWrap w:val="0"/>
        <w:spacing w:line="193" w:lineRule="atLeast"/>
        <w:ind w:firstLine="240" w:firstLineChars="100"/>
        <w:rPr>
          <w:color w:val="FF0000"/>
          <w:sz w:val="24"/>
          <w:szCs w:val="24"/>
        </w:rPr>
      </w:pPr>
      <w:r>
        <w:rPr>
          <w:rFonts w:hint="eastAsia"/>
          <w:color w:val="FF0000"/>
          <w:sz w:val="24"/>
          <w:szCs w:val="24"/>
        </w:rPr>
        <w:t>（1）</w:t>
      </w:r>
      <w:r>
        <w:rPr>
          <w:rFonts w:ascii="宋体" w:hAnsi="宋体" w:eastAsia="宋体" w:cs="宋体"/>
          <w:color w:val="FF0000"/>
          <w:kern w:val="0"/>
          <w:sz w:val="24"/>
          <w:szCs w:val="24"/>
        </w:rPr>
        <w:t>遴选会</w:t>
      </w:r>
      <w:r>
        <w:rPr>
          <w:rFonts w:hint="eastAsia" w:ascii="宋体" w:hAnsi="宋体" w:eastAsia="宋体" w:cs="宋体"/>
          <w:color w:val="FF0000"/>
          <w:kern w:val="0"/>
          <w:sz w:val="24"/>
          <w:szCs w:val="24"/>
        </w:rPr>
        <w:t>网上</w:t>
      </w:r>
      <w:r>
        <w:rPr>
          <w:rFonts w:ascii="宋体" w:hAnsi="宋体" w:eastAsia="宋体" w:cs="宋体"/>
          <w:color w:val="FF0000"/>
          <w:kern w:val="0"/>
          <w:sz w:val="24"/>
          <w:szCs w:val="24"/>
        </w:rPr>
        <w:t>报名</w:t>
      </w:r>
      <w:r>
        <w:rPr>
          <w:rFonts w:hint="eastAsia" w:ascii="宋体" w:hAnsi="宋体" w:eastAsia="宋体" w:cs="宋体"/>
          <w:color w:val="FF0000"/>
          <w:kern w:val="0"/>
          <w:sz w:val="24"/>
          <w:szCs w:val="24"/>
        </w:rPr>
        <w:t>链接</w:t>
      </w:r>
      <w:r>
        <w:rPr>
          <w:rFonts w:ascii="宋体" w:hAnsi="宋体" w:eastAsia="宋体" w:cs="宋体"/>
          <w:color w:val="FF0000"/>
          <w:kern w:val="0"/>
          <w:sz w:val="24"/>
          <w:szCs w:val="24"/>
        </w:rPr>
        <w:t>：</w:t>
      </w:r>
      <w:r>
        <w:rPr>
          <w:rFonts w:hint="eastAsia"/>
          <w:color w:val="FF0000"/>
          <w:sz w:val="24"/>
          <w:szCs w:val="24"/>
          <w:u w:val="single"/>
        </w:rPr>
        <w:t>https://www.wjx.cn/vj/hW2mqAc.aspx</w:t>
      </w:r>
      <w:r>
        <w:rPr>
          <w:rFonts w:hint="eastAsia"/>
          <w:color w:val="FF0000"/>
          <w:sz w:val="24"/>
          <w:szCs w:val="24"/>
        </w:rPr>
        <w:t>，请于开标上一工作日17:00时前提交，逾期未提交者不得参与项目遴选。</w:t>
      </w:r>
    </w:p>
    <w:p>
      <w:pPr>
        <w:widowControl/>
        <w:wordWrap w:val="0"/>
        <w:spacing w:line="193" w:lineRule="atLeast"/>
        <w:ind w:firstLine="240" w:firstLineChars="100"/>
        <w:rPr>
          <w:color w:val="FF0000"/>
          <w:sz w:val="24"/>
          <w:szCs w:val="24"/>
        </w:rPr>
      </w:pPr>
      <w:r>
        <w:rPr>
          <w:rFonts w:hint="eastAsia"/>
          <w:color w:val="FF0000"/>
          <w:sz w:val="24"/>
          <w:szCs w:val="24"/>
        </w:rPr>
        <w:t xml:space="preserve">（2）投标方代表严格遵守开标纪律，务必于开标前10分钟携带遴选文件到达会场，遴选文件必须排版胶装并以档案袋密封,密封处加盖公司骑缝公章,非格式报价单、开口报价单均无效,不符合以上要求均视为无效投标,不具备遴选资格。 </w:t>
      </w:r>
    </w:p>
    <w:p>
      <w:pPr>
        <w:widowControl/>
        <w:wordWrap w:val="0"/>
        <w:spacing w:line="193" w:lineRule="atLeast"/>
        <w:ind w:firstLine="240" w:firstLineChars="100"/>
        <w:rPr>
          <w:color w:val="FF0000"/>
          <w:sz w:val="24"/>
          <w:szCs w:val="24"/>
        </w:rPr>
      </w:pPr>
      <w:r>
        <w:rPr>
          <w:rFonts w:hint="eastAsia"/>
          <w:color w:val="FF0000"/>
          <w:sz w:val="24"/>
          <w:szCs w:val="24"/>
        </w:rPr>
        <w:t>（3）遴选响应文件的份数：纸质正本1份，电子版1份（1.全套投标文件正本（加盖公章） ：PDF格式扫描件；2. 遴选采购报价表、技术偏离表：excel版本，电子版请于开标后发送至邮箱</w:t>
      </w:r>
      <w:r>
        <w:fldChar w:fldCharType="begin"/>
      </w:r>
      <w:r>
        <w:instrText xml:space="preserve"> HYPERLINK "mailto:xuml@shchildren.com.cn" </w:instrText>
      </w:r>
      <w:r>
        <w:fldChar w:fldCharType="separate"/>
      </w:r>
      <w:r>
        <w:rPr>
          <w:rFonts w:hint="eastAsia"/>
          <w:color w:val="FF0000"/>
          <w:sz w:val="24"/>
          <w:szCs w:val="24"/>
        </w:rPr>
        <w:t>zhenglin@shchildren.com.cn</w:t>
      </w:r>
      <w:r>
        <w:rPr>
          <w:rFonts w:hint="eastAsia"/>
          <w:color w:val="FF0000"/>
          <w:sz w:val="24"/>
          <w:szCs w:val="24"/>
        </w:rPr>
        <w:fldChar w:fldCharType="end"/>
      </w:r>
      <w:r>
        <w:rPr>
          <w:rFonts w:hint="eastAsia"/>
          <w:color w:val="FF0000"/>
          <w:sz w:val="24"/>
          <w:szCs w:val="24"/>
        </w:rPr>
        <w:t>）。</w:t>
      </w:r>
    </w:p>
    <w:p>
      <w:pPr>
        <w:widowControl/>
        <w:wordWrap w:val="0"/>
        <w:spacing w:line="193" w:lineRule="atLeast"/>
        <w:rPr>
          <w:color w:val="FF0000"/>
        </w:rPr>
      </w:pPr>
    </w:p>
    <w:p>
      <w:pPr>
        <w:widowControl/>
        <w:wordWrap w:val="0"/>
        <w:spacing w:line="193" w:lineRule="atLeast"/>
        <w:rPr>
          <w:rFonts w:ascii="Calibri" w:hAnsi="Calibri" w:eastAsia="微软雅黑" w:cs="宋体"/>
          <w:color w:val="333333"/>
          <w:kern w:val="0"/>
          <w:sz w:val="24"/>
          <w:szCs w:val="24"/>
        </w:rPr>
      </w:pPr>
      <w:r>
        <w:rPr>
          <w:rFonts w:hint="eastAsia" w:ascii="宋体" w:hAnsi="宋体" w:eastAsia="宋体" w:cs="宋体"/>
          <w:b/>
          <w:bCs/>
          <w:color w:val="000000"/>
          <w:kern w:val="0"/>
          <w:sz w:val="24"/>
          <w:szCs w:val="24"/>
        </w:rPr>
        <w:t>联系地址</w:t>
      </w:r>
    </w:p>
    <w:p>
      <w:pPr>
        <w:widowControl/>
        <w:wordWrap w:val="0"/>
        <w:spacing w:line="193" w:lineRule="atLeast"/>
        <w:rPr>
          <w:rFonts w:ascii="Calibri" w:hAnsi="Calibri" w:eastAsia="微软雅黑" w:cs="宋体"/>
          <w:color w:val="333333"/>
          <w:kern w:val="0"/>
          <w:sz w:val="24"/>
          <w:szCs w:val="24"/>
        </w:rPr>
      </w:pPr>
      <w:r>
        <w:rPr>
          <w:rFonts w:hint="eastAsia" w:ascii="宋体" w:hAnsi="宋体" w:eastAsia="宋体" w:cs="宋体"/>
          <w:color w:val="000000"/>
          <w:kern w:val="0"/>
          <w:sz w:val="24"/>
          <w:szCs w:val="24"/>
        </w:rPr>
        <w:t>上海市泸定路355号上海市儿童医院 门诊一楼</w:t>
      </w:r>
    </w:p>
    <w:p>
      <w:pPr>
        <w:widowControl/>
        <w:wordWrap w:val="0"/>
        <w:spacing w:line="193" w:lineRule="atLeast"/>
        <w:rPr>
          <w:rFonts w:ascii="Calibri" w:hAnsi="Calibri" w:eastAsia="微软雅黑" w:cs="宋体"/>
          <w:color w:val="333333"/>
          <w:kern w:val="0"/>
          <w:sz w:val="24"/>
          <w:szCs w:val="24"/>
        </w:rPr>
      </w:pPr>
      <w:r>
        <w:rPr>
          <w:rFonts w:hint="eastAsia" w:ascii="宋体" w:hAnsi="宋体" w:eastAsia="宋体" w:cs="宋体"/>
          <w:color w:val="000000"/>
          <w:kern w:val="0"/>
          <w:sz w:val="24"/>
          <w:szCs w:val="24"/>
        </w:rPr>
        <w:t>联系人：文志林、郑霖</w:t>
      </w:r>
    </w:p>
    <w:p>
      <w:pPr>
        <w:widowControl/>
        <w:wordWrap w:val="0"/>
        <w:spacing w:line="193"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联系电话：021-52974032</w:t>
      </w:r>
    </w:p>
    <w:p>
      <w:pPr>
        <w:widowControl/>
        <w:wordWrap w:val="0"/>
        <w:spacing w:line="193" w:lineRule="atLeast"/>
        <w:rPr>
          <w:rFonts w:ascii="Calibri" w:hAnsi="Calibri" w:eastAsia="微软雅黑" w:cs="宋体"/>
          <w:color w:val="333333"/>
          <w:kern w:val="0"/>
          <w:sz w:val="24"/>
          <w:szCs w:val="24"/>
        </w:rPr>
      </w:pPr>
      <w:r>
        <w:rPr>
          <w:rFonts w:hint="eastAsia" w:ascii="宋体" w:hAnsi="宋体" w:eastAsia="宋体" w:cs="宋体"/>
          <w:color w:val="000000"/>
          <w:kern w:val="0"/>
          <w:sz w:val="24"/>
          <w:szCs w:val="24"/>
        </w:rPr>
        <w:t>上海市儿童医院采购中心</w:t>
      </w:r>
    </w:p>
    <w:p>
      <w:pPr>
        <w:widowControl/>
        <w:wordWrap w:val="0"/>
        <w:spacing w:line="193" w:lineRule="atLeast"/>
        <w:rPr>
          <w:rFonts w:ascii="Calibri" w:hAnsi="Calibri" w:eastAsia="微软雅黑" w:cs="宋体"/>
          <w:color w:val="333333"/>
          <w:kern w:val="0"/>
          <w:sz w:val="24"/>
          <w:szCs w:val="24"/>
        </w:rPr>
      </w:pPr>
      <w:r>
        <w:rPr>
          <w:rFonts w:hint="eastAsia" w:ascii="宋体" w:hAnsi="宋体" w:eastAsia="宋体" w:cs="宋体"/>
          <w:color w:val="000000"/>
          <w:kern w:val="0"/>
          <w:sz w:val="24"/>
          <w:szCs w:val="24"/>
        </w:rPr>
        <w:t>2021年5月11日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inherit">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617944"/>
    <w:multiLevelType w:val="multilevel"/>
    <w:tmpl w:val="57617944"/>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
    <w:nsid w:val="5A9E3AC5"/>
    <w:multiLevelType w:val="multilevel"/>
    <w:tmpl w:val="5A9E3AC5"/>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ECE"/>
    <w:rsid w:val="00003289"/>
    <w:rsid w:val="000506EB"/>
    <w:rsid w:val="0008767E"/>
    <w:rsid w:val="000E00D2"/>
    <w:rsid w:val="00100C93"/>
    <w:rsid w:val="00140F7C"/>
    <w:rsid w:val="00143232"/>
    <w:rsid w:val="00154B99"/>
    <w:rsid w:val="00167038"/>
    <w:rsid w:val="0017259A"/>
    <w:rsid w:val="001D05FB"/>
    <w:rsid w:val="001D33B1"/>
    <w:rsid w:val="001F144A"/>
    <w:rsid w:val="001F3742"/>
    <w:rsid w:val="00214130"/>
    <w:rsid w:val="00235ADD"/>
    <w:rsid w:val="0029714C"/>
    <w:rsid w:val="002B006F"/>
    <w:rsid w:val="002F05AD"/>
    <w:rsid w:val="0031743E"/>
    <w:rsid w:val="00353CF8"/>
    <w:rsid w:val="00362669"/>
    <w:rsid w:val="003876C9"/>
    <w:rsid w:val="0039694A"/>
    <w:rsid w:val="003D3093"/>
    <w:rsid w:val="003F16FE"/>
    <w:rsid w:val="00435999"/>
    <w:rsid w:val="00445D31"/>
    <w:rsid w:val="00465BEB"/>
    <w:rsid w:val="004964AB"/>
    <w:rsid w:val="004F1093"/>
    <w:rsid w:val="00510296"/>
    <w:rsid w:val="005229EC"/>
    <w:rsid w:val="00530A0B"/>
    <w:rsid w:val="005315F6"/>
    <w:rsid w:val="00536A1A"/>
    <w:rsid w:val="00541F4A"/>
    <w:rsid w:val="0059702A"/>
    <w:rsid w:val="005E4CBC"/>
    <w:rsid w:val="00605EF8"/>
    <w:rsid w:val="00614545"/>
    <w:rsid w:val="00620853"/>
    <w:rsid w:val="00655393"/>
    <w:rsid w:val="006C5381"/>
    <w:rsid w:val="006D46AF"/>
    <w:rsid w:val="006D634C"/>
    <w:rsid w:val="0071743D"/>
    <w:rsid w:val="0074080D"/>
    <w:rsid w:val="00751C43"/>
    <w:rsid w:val="00754398"/>
    <w:rsid w:val="007631FF"/>
    <w:rsid w:val="007967C2"/>
    <w:rsid w:val="00801135"/>
    <w:rsid w:val="00842BD0"/>
    <w:rsid w:val="00870F03"/>
    <w:rsid w:val="008D2C6C"/>
    <w:rsid w:val="008E5159"/>
    <w:rsid w:val="008F6C9C"/>
    <w:rsid w:val="00904AF5"/>
    <w:rsid w:val="00937943"/>
    <w:rsid w:val="009760A6"/>
    <w:rsid w:val="00984C86"/>
    <w:rsid w:val="00994FF0"/>
    <w:rsid w:val="009A338F"/>
    <w:rsid w:val="00A72DF5"/>
    <w:rsid w:val="00A87003"/>
    <w:rsid w:val="00AB0A3E"/>
    <w:rsid w:val="00AD2C26"/>
    <w:rsid w:val="00AE29C1"/>
    <w:rsid w:val="00AE3BE5"/>
    <w:rsid w:val="00B30143"/>
    <w:rsid w:val="00B41233"/>
    <w:rsid w:val="00B81061"/>
    <w:rsid w:val="00B82460"/>
    <w:rsid w:val="00B840C2"/>
    <w:rsid w:val="00BB5FCC"/>
    <w:rsid w:val="00BC1503"/>
    <w:rsid w:val="00BC44DA"/>
    <w:rsid w:val="00BE484D"/>
    <w:rsid w:val="00BF18EA"/>
    <w:rsid w:val="00C04D76"/>
    <w:rsid w:val="00C04E4A"/>
    <w:rsid w:val="00C26ECE"/>
    <w:rsid w:val="00C56424"/>
    <w:rsid w:val="00C96F67"/>
    <w:rsid w:val="00CC1792"/>
    <w:rsid w:val="00CF3A97"/>
    <w:rsid w:val="00D04C27"/>
    <w:rsid w:val="00D445A4"/>
    <w:rsid w:val="00D96A0D"/>
    <w:rsid w:val="00DB73CB"/>
    <w:rsid w:val="00DE5668"/>
    <w:rsid w:val="00E17E7F"/>
    <w:rsid w:val="00E46E67"/>
    <w:rsid w:val="00E559B7"/>
    <w:rsid w:val="00EC6624"/>
    <w:rsid w:val="00ED15EA"/>
    <w:rsid w:val="00ED5FB8"/>
    <w:rsid w:val="00EF518C"/>
    <w:rsid w:val="00F25873"/>
    <w:rsid w:val="00F53926"/>
    <w:rsid w:val="00F727BD"/>
    <w:rsid w:val="00F74D05"/>
    <w:rsid w:val="00F9004E"/>
    <w:rsid w:val="00FD4EB1"/>
    <w:rsid w:val="052E38E1"/>
    <w:rsid w:val="06456F2F"/>
    <w:rsid w:val="06AE7D15"/>
    <w:rsid w:val="06E077D2"/>
    <w:rsid w:val="0716207E"/>
    <w:rsid w:val="075F4276"/>
    <w:rsid w:val="0B3D54C6"/>
    <w:rsid w:val="0BD151AB"/>
    <w:rsid w:val="0D5170BE"/>
    <w:rsid w:val="0E0A7675"/>
    <w:rsid w:val="10C91DD2"/>
    <w:rsid w:val="10FA49AA"/>
    <w:rsid w:val="11711B25"/>
    <w:rsid w:val="166D01D8"/>
    <w:rsid w:val="17365260"/>
    <w:rsid w:val="1790318F"/>
    <w:rsid w:val="18B34AB1"/>
    <w:rsid w:val="1926004F"/>
    <w:rsid w:val="1A8E11FB"/>
    <w:rsid w:val="1AAD44D4"/>
    <w:rsid w:val="1BE71836"/>
    <w:rsid w:val="1C085564"/>
    <w:rsid w:val="20BD5BD5"/>
    <w:rsid w:val="226B2261"/>
    <w:rsid w:val="23E834D5"/>
    <w:rsid w:val="2A0A052A"/>
    <w:rsid w:val="2B08526E"/>
    <w:rsid w:val="2C0606D5"/>
    <w:rsid w:val="30806547"/>
    <w:rsid w:val="323A48DC"/>
    <w:rsid w:val="34E42337"/>
    <w:rsid w:val="3684581C"/>
    <w:rsid w:val="36ED1E34"/>
    <w:rsid w:val="38031B8D"/>
    <w:rsid w:val="394270EA"/>
    <w:rsid w:val="3A3662F3"/>
    <w:rsid w:val="3B260A61"/>
    <w:rsid w:val="3BD5458B"/>
    <w:rsid w:val="3DA71EFB"/>
    <w:rsid w:val="3EEE4FED"/>
    <w:rsid w:val="3FE35A0C"/>
    <w:rsid w:val="411F46A5"/>
    <w:rsid w:val="41960B50"/>
    <w:rsid w:val="43BF292A"/>
    <w:rsid w:val="4551058A"/>
    <w:rsid w:val="46E77B6B"/>
    <w:rsid w:val="4747106E"/>
    <w:rsid w:val="4BC24A77"/>
    <w:rsid w:val="4DFA7795"/>
    <w:rsid w:val="51363427"/>
    <w:rsid w:val="53FD3ABD"/>
    <w:rsid w:val="554E62C0"/>
    <w:rsid w:val="576E7689"/>
    <w:rsid w:val="585C234E"/>
    <w:rsid w:val="5C3D1857"/>
    <w:rsid w:val="5D126255"/>
    <w:rsid w:val="5DE078E6"/>
    <w:rsid w:val="5DF023B0"/>
    <w:rsid w:val="603C1320"/>
    <w:rsid w:val="61191A11"/>
    <w:rsid w:val="649A7DC9"/>
    <w:rsid w:val="64FE099A"/>
    <w:rsid w:val="65752D20"/>
    <w:rsid w:val="67CF1147"/>
    <w:rsid w:val="6800057A"/>
    <w:rsid w:val="6CA9662D"/>
    <w:rsid w:val="6DF00842"/>
    <w:rsid w:val="6E62269D"/>
    <w:rsid w:val="6E7F33F8"/>
    <w:rsid w:val="70494CD4"/>
    <w:rsid w:val="705A4DB9"/>
    <w:rsid w:val="7349268D"/>
    <w:rsid w:val="73966EBB"/>
    <w:rsid w:val="75F4167C"/>
    <w:rsid w:val="7A044863"/>
    <w:rsid w:val="7BB948D7"/>
    <w:rsid w:val="7BD50615"/>
    <w:rsid w:val="7D753796"/>
    <w:rsid w:val="7F1838BF"/>
    <w:rsid w:val="7F282C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semiHidden/>
    <w:qFormat/>
    <w:uiPriority w:val="0"/>
    <w:pPr>
      <w:jc w:val="left"/>
    </w:pPr>
    <w:rPr>
      <w:rFonts w:ascii="Times New Roman" w:hAnsi="Times New Roman" w:eastAsia="宋体" w:cs="Times New Roman"/>
      <w:szCs w:val="24"/>
    </w:rPr>
  </w:style>
  <w:style w:type="paragraph" w:styleId="4">
    <w:name w:val="Balloon Text"/>
    <w:basedOn w:val="1"/>
    <w:link w:val="21"/>
    <w:semiHidden/>
    <w:unhideWhenUsed/>
    <w:qFormat/>
    <w:uiPriority w:val="99"/>
    <w:rPr>
      <w:sz w:val="18"/>
      <w:szCs w:val="18"/>
    </w:rPr>
  </w:style>
  <w:style w:type="paragraph" w:styleId="5">
    <w:name w:val="footer"/>
    <w:basedOn w:val="1"/>
    <w:link w:val="16"/>
    <w:semiHidden/>
    <w:unhideWhenUsed/>
    <w:qFormat/>
    <w:uiPriority w:val="99"/>
    <w:pPr>
      <w:tabs>
        <w:tab w:val="center" w:pos="4153"/>
        <w:tab w:val="right" w:pos="8306"/>
      </w:tabs>
      <w:snapToGrid w:val="0"/>
      <w:jc w:val="left"/>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qFormat/>
    <w:uiPriority w:val="99"/>
    <w:rPr>
      <w:color w:val="800080"/>
      <w:u w:val="single"/>
    </w:rPr>
  </w:style>
  <w:style w:type="character" w:styleId="12">
    <w:name w:val="Emphasis"/>
    <w:basedOn w:val="9"/>
    <w:qFormat/>
    <w:uiPriority w:val="20"/>
    <w:rPr>
      <w:i/>
      <w:iCs/>
    </w:rPr>
  </w:style>
  <w:style w:type="character" w:styleId="13">
    <w:name w:val="Hyperlink"/>
    <w:basedOn w:val="9"/>
    <w:unhideWhenUsed/>
    <w:qFormat/>
    <w:uiPriority w:val="99"/>
    <w:rPr>
      <w:color w:val="0000FF"/>
      <w:u w:val="single"/>
    </w:rPr>
  </w:style>
  <w:style w:type="character" w:styleId="14">
    <w:name w:val="annotation reference"/>
    <w:semiHidden/>
    <w:qFormat/>
    <w:uiPriority w:val="0"/>
    <w:rPr>
      <w:sz w:val="21"/>
      <w:szCs w:val="21"/>
    </w:rPr>
  </w:style>
  <w:style w:type="character" w:customStyle="1" w:styleId="15">
    <w:name w:val="页眉 Char"/>
    <w:basedOn w:val="9"/>
    <w:link w:val="6"/>
    <w:semiHidden/>
    <w:qFormat/>
    <w:uiPriority w:val="99"/>
    <w:rPr>
      <w:sz w:val="18"/>
      <w:szCs w:val="18"/>
    </w:rPr>
  </w:style>
  <w:style w:type="character" w:customStyle="1" w:styleId="16">
    <w:name w:val="页脚 Char"/>
    <w:basedOn w:val="9"/>
    <w:link w:val="5"/>
    <w:semiHidden/>
    <w:qFormat/>
    <w:uiPriority w:val="99"/>
    <w:rPr>
      <w:sz w:val="18"/>
      <w:szCs w:val="18"/>
    </w:rPr>
  </w:style>
  <w:style w:type="character" w:customStyle="1" w:styleId="17">
    <w:name w:val="标题 1 Char"/>
    <w:basedOn w:val="9"/>
    <w:link w:val="2"/>
    <w:qFormat/>
    <w:uiPriority w:val="9"/>
    <w:rPr>
      <w:rFonts w:ascii="宋体" w:hAnsi="宋体" w:eastAsia="宋体" w:cs="宋体"/>
      <w:b/>
      <w:bCs/>
      <w:kern w:val="36"/>
      <w:sz w:val="48"/>
      <w:szCs w:val="48"/>
    </w:rPr>
  </w:style>
  <w:style w:type="character" w:customStyle="1" w:styleId="18">
    <w:name w:val="meta-date"/>
    <w:basedOn w:val="9"/>
    <w:qFormat/>
    <w:uiPriority w:val="0"/>
  </w:style>
  <w:style w:type="character" w:customStyle="1" w:styleId="19">
    <w:name w:val="meta-aname"/>
    <w:basedOn w:val="9"/>
    <w:qFormat/>
    <w:uiPriority w:val="0"/>
  </w:style>
  <w:style w:type="character" w:customStyle="1" w:styleId="20">
    <w:name w:val="批注文字 Char"/>
    <w:basedOn w:val="9"/>
    <w:link w:val="3"/>
    <w:semiHidden/>
    <w:qFormat/>
    <w:uiPriority w:val="0"/>
    <w:rPr>
      <w:rFonts w:ascii="Times New Roman" w:hAnsi="Times New Roman" w:eastAsia="宋体" w:cs="Times New Roman"/>
      <w:kern w:val="2"/>
      <w:sz w:val="21"/>
      <w:szCs w:val="24"/>
    </w:rPr>
  </w:style>
  <w:style w:type="character" w:customStyle="1" w:styleId="21">
    <w:name w:val="批注框文本 Char"/>
    <w:basedOn w:val="9"/>
    <w:link w:val="4"/>
    <w:semiHidden/>
    <w:qFormat/>
    <w:uiPriority w:val="99"/>
    <w:rPr>
      <w:kern w:val="2"/>
      <w:sz w:val="18"/>
      <w:szCs w:val="18"/>
    </w:rPr>
  </w:style>
  <w:style w:type="paragraph" w:customStyle="1" w:styleId="22">
    <w:name w:val="ifb-1"/>
    <w:basedOn w:val="1"/>
    <w:qFormat/>
    <w:uiPriority w:val="0"/>
    <w:pPr>
      <w:ind w:left="420" w:hanging="420"/>
    </w:pPr>
    <w:rPr>
      <w:rFonts w:ascii="楷体_GB2312" w:eastAsia="楷体_GB2312"/>
      <w:szCs w:val="20"/>
    </w:rPr>
  </w:style>
  <w:style w:type="paragraph" w:styleId="2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83B907-22EF-46B9-A1BF-B7683BBF7B9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540</Words>
  <Characters>3084</Characters>
  <Lines>25</Lines>
  <Paragraphs>7</Paragraphs>
  <TotalTime>0</TotalTime>
  <ScaleCrop>false</ScaleCrop>
  <LinksUpToDate>false</LinksUpToDate>
  <CharactersWithSpaces>3617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2021-05-11T06:42:00Z</dcterms:created>
  <dc:creator>user</dc:creator>
  <cp:lastModifiedBy>郑霖</cp:lastModifiedBy>
  <dcterms:modified xsi:type="dcterms:W3CDTF">2021-05-11T06:48:19Z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B79F644C043646CFBA526ED9B76E870F</vt:lpwstr>
  </property>
</Properties>
</file>