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04" w:lineRule="atLeast"/>
        <w:jc w:val="left"/>
        <w:outlineLvl w:val="0"/>
        <w:rPr>
          <w:rFonts w:hint="eastAsia" w:ascii="inherit" w:hAnsi="inherit" w:eastAsia="微软雅黑" w:cs="宋体"/>
          <w:color w:val="333333"/>
          <w:kern w:val="36"/>
          <w:sz w:val="34"/>
          <w:szCs w:val="34"/>
        </w:rPr>
      </w:pPr>
      <w:r>
        <w:rPr>
          <w:rFonts w:hint="eastAsia" w:ascii="微软雅黑" w:hAnsi="微软雅黑" w:eastAsia="微软雅黑" w:cs="微软雅黑"/>
          <w:i w:val="0"/>
          <w:caps w:val="0"/>
          <w:color w:val="333333"/>
          <w:spacing w:val="0"/>
          <w:sz w:val="36"/>
          <w:szCs w:val="36"/>
          <w:shd w:val="clear" w:fill="FFFFFF"/>
        </w:rPr>
        <w:t>上海市儿童医院“免疫组化试剂24项；拉莫三嗪、托吡酯、10-羟基卡马西平和左乙拉西坦药物浓度检测试剂9项；溶酶体贮积症（LSD）筛查检测试剂”</w:t>
      </w:r>
      <w:r>
        <w:rPr>
          <w:rFonts w:hint="eastAsia" w:ascii="微软雅黑" w:hAnsi="微软雅黑" w:eastAsia="微软雅黑" w:cs="微软雅黑"/>
          <w:i w:val="0"/>
          <w:caps w:val="0"/>
          <w:color w:val="333333"/>
          <w:spacing w:val="0"/>
          <w:sz w:val="36"/>
          <w:szCs w:val="36"/>
          <w:shd w:val="clear" w:fill="FFFFFF"/>
          <w:lang w:eastAsia="zh-CN"/>
        </w:rPr>
        <w:t>第</w:t>
      </w:r>
      <w:r>
        <w:rPr>
          <w:rFonts w:hint="eastAsia" w:ascii="微软雅黑" w:hAnsi="微软雅黑" w:eastAsia="微软雅黑" w:cs="微软雅黑"/>
          <w:i w:val="0"/>
          <w:caps w:val="0"/>
          <w:color w:val="333333"/>
          <w:spacing w:val="0"/>
          <w:sz w:val="36"/>
          <w:szCs w:val="36"/>
          <w:shd w:val="clear" w:fill="FFFFFF"/>
          <w:lang w:val="en-US" w:eastAsia="zh-CN"/>
        </w:rPr>
        <w:t>1包</w:t>
      </w:r>
      <w:r>
        <w:rPr>
          <w:rFonts w:ascii="inherit" w:hAnsi="inherit" w:eastAsia="微软雅黑" w:cs="宋体"/>
          <w:color w:val="333333"/>
          <w:kern w:val="36"/>
          <w:sz w:val="34"/>
          <w:szCs w:val="34"/>
        </w:rPr>
        <w:t>供应商遴选</w:t>
      </w:r>
      <w:r>
        <w:rPr>
          <w:rFonts w:hint="eastAsia" w:ascii="inherit" w:hAnsi="inherit" w:eastAsia="微软雅黑" w:cs="宋体"/>
          <w:color w:val="333333"/>
          <w:kern w:val="36"/>
          <w:sz w:val="34"/>
          <w:szCs w:val="34"/>
        </w:rPr>
        <w:t>文件(第</w:t>
      </w:r>
      <w:r>
        <w:rPr>
          <w:rFonts w:hint="eastAsia" w:ascii="inherit" w:hAnsi="inherit" w:eastAsia="微软雅黑" w:cs="宋体"/>
          <w:color w:val="333333"/>
          <w:kern w:val="36"/>
          <w:sz w:val="34"/>
          <w:szCs w:val="34"/>
          <w:lang w:eastAsia="zh-CN"/>
        </w:rPr>
        <w:t>三</w:t>
      </w:r>
      <w:r>
        <w:rPr>
          <w:rFonts w:hint="eastAsia" w:ascii="inherit" w:hAnsi="inherit" w:eastAsia="微软雅黑" w:cs="宋体"/>
          <w:color w:val="333333"/>
          <w:kern w:val="36"/>
          <w:sz w:val="34"/>
          <w:szCs w:val="34"/>
        </w:rPr>
        <w:t>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68" w:beforeAutospacing="0" w:after="168" w:afterAutospacing="0"/>
        <w:ind w:left="0" w:right="0" w:firstLine="480"/>
        <w:jc w:val="left"/>
        <w:rPr>
          <w:rFonts w:ascii="Calibri" w:hAnsi="Calibri" w:cs="Calibri"/>
          <w:i w:val="0"/>
          <w:caps w:val="0"/>
          <w:color w:val="333333"/>
          <w:spacing w:val="0"/>
          <w:sz w:val="21"/>
          <w:szCs w:val="21"/>
        </w:rPr>
      </w:pPr>
      <w:r>
        <w:rPr>
          <w:rFonts w:hint="eastAsia" w:ascii="宋体" w:hAnsi="宋体" w:eastAsia="宋体" w:cs="宋体"/>
          <w:i w:val="0"/>
          <w:caps w:val="0"/>
          <w:color w:val="000000"/>
          <w:spacing w:val="0"/>
          <w:sz w:val="24"/>
          <w:szCs w:val="24"/>
          <w:shd w:val="clear" w:color="auto" w:fill="FFFFFF"/>
        </w:rPr>
        <w:t>上海市儿童医院“免疫组化试剂24项；拉莫三嗪、托吡酯、10-羟基卡马西平和左乙拉西坦药物浓度检测试剂9项；溶酶体贮积症（LSD）筛查检测试剂”</w:t>
      </w:r>
      <w:r>
        <w:rPr>
          <w:rFonts w:hint="eastAsia" w:ascii="宋体" w:hAnsi="宋体" w:eastAsia="宋体" w:cs="宋体"/>
          <w:i w:val="0"/>
          <w:caps w:val="0"/>
          <w:color w:val="000000"/>
          <w:spacing w:val="0"/>
          <w:sz w:val="24"/>
          <w:szCs w:val="24"/>
          <w:shd w:val="clear" w:color="auto" w:fill="FFFFFF"/>
          <w:lang w:eastAsia="zh-CN"/>
        </w:rPr>
        <w:t>第</w:t>
      </w:r>
      <w:r>
        <w:rPr>
          <w:rFonts w:hint="eastAsia" w:ascii="宋体" w:hAnsi="宋体" w:eastAsia="宋体" w:cs="宋体"/>
          <w:i w:val="0"/>
          <w:caps w:val="0"/>
          <w:color w:val="000000"/>
          <w:spacing w:val="0"/>
          <w:sz w:val="24"/>
          <w:szCs w:val="24"/>
          <w:shd w:val="clear" w:color="auto" w:fill="FFFFFF"/>
          <w:lang w:val="en-US" w:eastAsia="zh-CN"/>
        </w:rPr>
        <w:t>1包</w:t>
      </w:r>
      <w:r>
        <w:rPr>
          <w:rFonts w:hint="eastAsia" w:ascii="宋体" w:hAnsi="宋体" w:eastAsia="宋体" w:cs="宋体"/>
          <w:i w:val="0"/>
          <w:caps w:val="0"/>
          <w:color w:val="000000"/>
          <w:spacing w:val="0"/>
          <w:sz w:val="24"/>
          <w:szCs w:val="24"/>
          <w:shd w:val="clear" w:color="auto" w:fill="FFFFFF"/>
        </w:rPr>
        <w:t>公开征询供应商，欢迎合格供应商前来参加遴选。届时我们将选出合适的产品供应商作为新供应商进行日常采购。</w:t>
      </w: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一、适用情况：用于临床、检验、病理等医用试剂。</w:t>
      </w:r>
    </w:p>
    <w:p>
      <w:pPr>
        <w:widowControl/>
        <w:wordWrap w:val="0"/>
        <w:spacing w:line="193" w:lineRule="atLeast"/>
        <w:rPr>
          <w:rFonts w:hint="eastAsia" w:ascii="inherit" w:hAnsi="inherit" w:eastAsia="微软雅黑" w:cs="宋体"/>
          <w:color w:val="333333"/>
          <w:kern w:val="36"/>
          <w:sz w:val="34"/>
          <w:szCs w:val="34"/>
        </w:rPr>
      </w:pPr>
      <w:r>
        <w:rPr>
          <w:rFonts w:hint="eastAsia" w:ascii="宋体" w:hAnsi="宋体" w:eastAsia="宋体" w:cs="宋体"/>
          <w:color w:val="000000"/>
          <w:kern w:val="0"/>
          <w:sz w:val="24"/>
          <w:szCs w:val="24"/>
        </w:rPr>
        <w:t>二、项目名称：免疫组化试剂24项</w:t>
      </w: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三、技术要求：</w:t>
      </w:r>
    </w:p>
    <w:p>
      <w:pPr>
        <w:widowControl/>
        <w:wordWrap w:val="0"/>
        <w:spacing w:line="193" w:lineRule="atLeast"/>
        <w:rPr>
          <w:rFonts w:ascii="宋体" w:hAnsi="宋体" w:eastAsia="宋体" w:cs="宋体"/>
          <w:b/>
          <w:color w:val="000000"/>
          <w:kern w:val="0"/>
          <w:sz w:val="24"/>
          <w:szCs w:val="24"/>
        </w:rPr>
      </w:pPr>
    </w:p>
    <w:p>
      <w:pPr>
        <w:widowControl/>
        <w:wordWrap w:val="0"/>
        <w:spacing w:line="193"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免疫组化试剂24项</w:t>
      </w:r>
    </w:p>
    <w:p>
      <w:pPr>
        <w:widowControl/>
        <w:wordWrap w:val="0"/>
        <w:spacing w:line="193" w:lineRule="atLeast"/>
        <w:rPr>
          <w:rFonts w:ascii="宋体" w:hAnsi="宋体" w:eastAsia="宋体" w:cs="宋体"/>
          <w:color w:val="000000"/>
          <w:kern w:val="0"/>
          <w:sz w:val="24"/>
          <w:szCs w:val="24"/>
        </w:rPr>
      </w:pPr>
    </w:p>
    <w:tbl>
      <w:tblPr>
        <w:tblStyle w:val="6"/>
        <w:tblW w:w="4877" w:type="pct"/>
        <w:tblInd w:w="108" w:type="dxa"/>
        <w:tblLayout w:type="fixed"/>
        <w:tblCellMar>
          <w:top w:w="0" w:type="dxa"/>
          <w:left w:w="108" w:type="dxa"/>
          <w:bottom w:w="0" w:type="dxa"/>
          <w:right w:w="108" w:type="dxa"/>
        </w:tblCellMar>
      </w:tblPr>
      <w:tblGrid>
        <w:gridCol w:w="692"/>
        <w:gridCol w:w="2633"/>
        <w:gridCol w:w="3459"/>
        <w:gridCol w:w="1528"/>
      </w:tblGrid>
      <w:tr>
        <w:tblPrEx>
          <w:tblCellMar>
            <w:top w:w="0" w:type="dxa"/>
            <w:left w:w="108" w:type="dxa"/>
            <w:bottom w:w="0" w:type="dxa"/>
            <w:right w:w="108" w:type="dxa"/>
          </w:tblCellMar>
        </w:tblPrEx>
        <w:trPr>
          <w:trHeight w:val="450" w:hRule="atLeast"/>
        </w:trPr>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58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项目名称</w:t>
            </w:r>
          </w:p>
        </w:tc>
        <w:tc>
          <w:tcPr>
            <w:tcW w:w="208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项目使用要求</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针对相关病种</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c-MYC抗体试剂（免疫组织化学）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在常规染色基础上进行免疫组织化学染色，为医师提供诊断的辅助信息。</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伯基特淋巴瘤等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CDX-2抗体试剂（免疫组织化学）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w:t>
            </w:r>
            <w:bookmarkStart w:id="0" w:name="_GoBack"/>
            <w:bookmarkEnd w:id="0"/>
            <w:r>
              <w:rPr>
                <w:rFonts w:hint="eastAsia" w:asciiTheme="minorEastAsia" w:hAnsiTheme="minorEastAsia"/>
                <w:color w:val="000000"/>
                <w:szCs w:val="21"/>
              </w:rPr>
              <w:t>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肠上皮等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MAP2抗体试剂（免疫组织化学）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胆闭锁等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BSEP抗体试剂（免疫组织化学）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胆汁淤积等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TJP2抗体试剂（免疫组织化学）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胆汁淤积等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MRP2抗体试剂（免疫组织化学）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胆汁淤积等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GGT1抗体试剂（免疫组织化学）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胆汁淤积等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Hep Par1抗体试剂（免疫组织化学）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肝炎等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细胞角蛋白8抗体试剂（免疫组织化学）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肝炎等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Prox1抗体试剂（免疫组织化学）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淋巴管瘤等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Phox2B抗体试剂（免疫组织化学）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神经母细胞瘤等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BCOR抗体试剂（免疫组织化学）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小圆细胞肉瘤等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CIC抗体试剂（免疫组织化学）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小圆细胞肉瘤等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NTRK1.2.3抗体试剂（免疫组织化学）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婴幼儿纤维肉瘤等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NTRK-PAN抗体试剂（免疫组织化学）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婴幼儿纤维肉瘤等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NKX2.2抗体试剂（免疫组织化学）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尤因肉瘤等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PLAG1抗体试剂（免疫组织化学）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 xml:space="preserve"> </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脂肪母细胞瘤等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多药耐药相关蛋白（MRP）抗体试剂（免疫组织化学法）</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肝炎等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MRP3抗体试剂（免疫组织化学）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肝炎等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精氨酸酶1（Arginase-1）抗体试剂（免疫组织化学法）</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肝肿瘤等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p16抗体试剂（免疫组织化学）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宫颈病变等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BRAF抗体试剂（免疫组织化学）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甲状腺乳头状癌等</w:t>
            </w:r>
          </w:p>
        </w:tc>
      </w:tr>
      <w:tr>
        <w:tblPrEx>
          <w:tblCellMar>
            <w:top w:w="0" w:type="dxa"/>
            <w:left w:w="108" w:type="dxa"/>
            <w:bottom w:w="0" w:type="dxa"/>
            <w:right w:w="108" w:type="dxa"/>
          </w:tblCellMar>
        </w:tblPrEx>
        <w:trPr>
          <w:trHeight w:val="100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p40抗体试剂（免疫组织化学）</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鳞状上皮病变等</w:t>
            </w:r>
          </w:p>
        </w:tc>
      </w:tr>
      <w:tr>
        <w:tblPrEx>
          <w:tblCellMar>
            <w:top w:w="0" w:type="dxa"/>
            <w:left w:w="108" w:type="dxa"/>
            <w:bottom w:w="0" w:type="dxa"/>
            <w:right w:w="108" w:type="dxa"/>
          </w:tblCellMar>
        </w:tblPrEx>
        <w:trPr>
          <w:trHeight w:val="1002" w:hRule="atLeast"/>
        </w:trPr>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1584" w:type="pct"/>
            <w:tcBorders>
              <w:top w:val="single" w:color="auto" w:sz="4" w:space="0"/>
              <w:left w:val="nil"/>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asciiTheme="minorEastAsia" w:hAnsiTheme="minorEastAsia"/>
                <w:color w:val="000000"/>
                <w:szCs w:val="21"/>
              </w:rPr>
              <w:t>生长抑素受体2（SSTR 2）抗体试剂（免疫组织化学法）</w:t>
            </w:r>
          </w:p>
        </w:tc>
        <w:tc>
          <w:tcPr>
            <w:tcW w:w="2081" w:type="pct"/>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color w:val="000000"/>
                <w:szCs w:val="21"/>
                <w:lang w:eastAsia="zh-CN"/>
              </w:rPr>
            </w:pPr>
            <w:r>
              <w:rPr>
                <w:rFonts w:hint="eastAsia" w:asciiTheme="minorEastAsia" w:hAnsiTheme="minorEastAsia"/>
                <w:color w:val="000000"/>
                <w:szCs w:val="21"/>
              </w:rPr>
              <w:t>在常规染色基础上进行免疫组织化学染色，为医师提供诊断的辅助信息</w:t>
            </w:r>
            <w:r>
              <w:rPr>
                <w:rFonts w:hint="eastAsia" w:asciiTheme="minorEastAsia" w:hAnsiTheme="minorEastAsia"/>
                <w:color w:val="000000"/>
                <w:szCs w:val="21"/>
                <w:lang w:eastAsia="zh-CN"/>
              </w:rPr>
              <w:t>。</w:t>
            </w:r>
          </w:p>
        </w:tc>
        <w:tc>
          <w:tcPr>
            <w:tcW w:w="919" w:type="pct"/>
            <w:tcBorders>
              <w:top w:val="single" w:color="auto" w:sz="4" w:space="0"/>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szCs w:val="21"/>
              </w:rPr>
            </w:pPr>
            <w:r>
              <w:rPr>
                <w:rFonts w:hint="eastAsia" w:asciiTheme="minorEastAsia" w:hAnsiTheme="minorEastAsia"/>
                <w:color w:val="000000"/>
                <w:szCs w:val="21"/>
              </w:rPr>
              <w:t>脑膜瘤等</w:t>
            </w:r>
          </w:p>
        </w:tc>
      </w:tr>
      <w:tr>
        <w:tblPrEx>
          <w:tblCellMar>
            <w:top w:w="0" w:type="dxa"/>
            <w:left w:w="108" w:type="dxa"/>
            <w:bottom w:w="0" w:type="dxa"/>
            <w:right w:w="108" w:type="dxa"/>
          </w:tblCellMar>
        </w:tblPrEx>
        <w:trPr>
          <w:trHeight w:val="499"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FF0000"/>
                <w:kern w:val="0"/>
                <w:szCs w:val="21"/>
              </w:rPr>
            </w:pPr>
            <w:r>
              <w:rPr>
                <w:rFonts w:hint="eastAsia" w:ascii="Courier New" w:hAnsi="Courier New" w:eastAsia="宋体" w:cs="Courier New"/>
                <w:color w:val="FF0000"/>
                <w:kern w:val="0"/>
                <w:szCs w:val="21"/>
              </w:rPr>
              <w:t>备注：</w:t>
            </w:r>
            <w:r>
              <w:rPr>
                <w:rFonts w:hint="eastAsia" w:asciiTheme="minorEastAsia" w:hAnsiTheme="minorEastAsia"/>
                <w:color w:val="FF0000"/>
                <w:szCs w:val="21"/>
              </w:rPr>
              <w:t>预估年检测量：每项60-100检测人份</w:t>
            </w:r>
          </w:p>
        </w:tc>
      </w:tr>
    </w:tbl>
    <w:p>
      <w:pPr>
        <w:spacing w:line="300" w:lineRule="auto"/>
        <w:rPr>
          <w:rFonts w:asciiTheme="minorEastAsia" w:hAnsiTheme="minorEastAsia"/>
          <w:sz w:val="24"/>
          <w:szCs w:val="24"/>
        </w:rPr>
      </w:pPr>
    </w:p>
    <w:p>
      <w:pPr>
        <w:spacing w:line="300" w:lineRule="auto"/>
        <w:rPr>
          <w:rFonts w:asciiTheme="minorEastAsia" w:hAnsiTheme="minorEastAsia"/>
          <w:sz w:val="24"/>
          <w:szCs w:val="24"/>
        </w:rPr>
      </w:pPr>
      <w:r>
        <w:rPr>
          <w:rFonts w:hint="eastAsia" w:asciiTheme="minorEastAsia" w:hAnsiTheme="minorEastAsia"/>
          <w:sz w:val="24"/>
          <w:szCs w:val="24"/>
        </w:rPr>
        <w:t>1、提供产品清单，包括产品信息和报价。</w:t>
      </w:r>
    </w:p>
    <w:p>
      <w:pPr>
        <w:spacing w:line="300" w:lineRule="auto"/>
        <w:rPr>
          <w:rFonts w:asciiTheme="minorEastAsia" w:hAnsiTheme="minorEastAsia"/>
          <w:sz w:val="24"/>
          <w:szCs w:val="24"/>
        </w:rPr>
      </w:pPr>
      <w:r>
        <w:rPr>
          <w:rFonts w:hint="eastAsia" w:asciiTheme="minorEastAsia" w:hAnsiTheme="minorEastAsia"/>
          <w:sz w:val="24"/>
          <w:szCs w:val="24"/>
        </w:rPr>
        <w:t>（1）产品信息，列出试剂、试剂盒、校准品、质控品等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院方不再另行单独采购。</w:t>
      </w:r>
    </w:p>
    <w:p>
      <w:pPr>
        <w:spacing w:line="300" w:lineRule="auto"/>
        <w:rPr>
          <w:rFonts w:asciiTheme="minorEastAsia" w:hAnsiTheme="minorEastAsia"/>
          <w:sz w:val="24"/>
          <w:szCs w:val="24"/>
        </w:rPr>
      </w:pPr>
      <w:r>
        <w:rPr>
          <w:rFonts w:hint="eastAsia" w:asciiTheme="minorEastAsia" w:hAnsiTheme="minorEastAsia"/>
          <w:sz w:val="24"/>
          <w:szCs w:val="24"/>
        </w:rPr>
        <w:t>（2）产品报价，按照所提供的免疫组织化学染色诊断项目进行报价，该报价须包含所提供产品的采购、运输、保险、税收、配送服务等一切费用，采购方不再承担额外费用。报价信息包括单人份报价（即试剂、试剂盒、校准品、质控品等所有产品完成该检测所需成本）、试剂对应检测项目名称及收费价格信息、试剂成本/试剂项目收费、税率等。</w:t>
      </w:r>
    </w:p>
    <w:p>
      <w:pPr>
        <w:spacing w:line="300" w:lineRule="auto"/>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color w:val="FF0000"/>
          <w:sz w:val="24"/>
          <w:szCs w:val="24"/>
        </w:rPr>
        <w:t>提供本市三级公立医院试剂价格发票复印件。</w:t>
      </w:r>
    </w:p>
    <w:p>
      <w:pPr>
        <w:spacing w:line="300" w:lineRule="auto"/>
        <w:rPr>
          <w:rFonts w:asciiTheme="minorEastAsia" w:hAnsiTheme="minorEastAsia"/>
          <w:sz w:val="24"/>
          <w:szCs w:val="24"/>
        </w:rPr>
      </w:pPr>
      <w:r>
        <w:rPr>
          <w:rFonts w:hint="eastAsia" w:asciiTheme="minorEastAsia" w:hAnsiTheme="minorEastAsia"/>
          <w:sz w:val="24"/>
          <w:szCs w:val="24"/>
        </w:rPr>
        <w:t>3、试剂价格5年内不得上涨；但受收费政策、新技术发展、应用规模、竞争产品、同行比照等因素影响，应配合价格评估并及时对价格下调。</w:t>
      </w:r>
    </w:p>
    <w:p>
      <w:pPr>
        <w:spacing w:line="300" w:lineRule="auto"/>
        <w:rPr>
          <w:rFonts w:asciiTheme="minorEastAsia" w:hAnsiTheme="minorEastAsia"/>
          <w:sz w:val="24"/>
          <w:szCs w:val="24"/>
        </w:rPr>
      </w:pPr>
      <w:r>
        <w:rPr>
          <w:rFonts w:hint="eastAsia" w:asciiTheme="minorEastAsia" w:hAnsiTheme="minorEastAsia"/>
          <w:sz w:val="24"/>
          <w:szCs w:val="24"/>
        </w:rPr>
        <w:t>4、提供产品资证、相关说明书、存储要求、供应包装与标签等文件。</w:t>
      </w:r>
    </w:p>
    <w:p>
      <w:pPr>
        <w:spacing w:line="300" w:lineRule="auto"/>
        <w:rPr>
          <w:rFonts w:asciiTheme="minorEastAsia" w:hAnsiTheme="minorEastAsia"/>
          <w:sz w:val="24"/>
          <w:szCs w:val="24"/>
        </w:rPr>
      </w:pPr>
      <w:r>
        <w:rPr>
          <w:rFonts w:hint="eastAsia" w:asciiTheme="minorEastAsia" w:hAnsiTheme="minorEastAsia"/>
          <w:sz w:val="24"/>
          <w:szCs w:val="24"/>
        </w:rPr>
        <w:t>（1）所有产品（包括试剂、试剂盒、校准品、质控品等）的文件资料必须真实有效，包括但不限于：营业执照、医疗器械经营许可证、医疗器械生产许可证、代理授权文件(必须为一级代理或二级代理，二级代理必须为上海区域总代理)、医疗器械注册证、第一类医疗器械备案凭证等。</w:t>
      </w:r>
    </w:p>
    <w:p>
      <w:pPr>
        <w:spacing w:line="300" w:lineRule="auto"/>
        <w:rPr>
          <w:rFonts w:asciiTheme="minorEastAsia" w:hAnsiTheme="minorEastAsia"/>
          <w:sz w:val="24"/>
          <w:szCs w:val="24"/>
        </w:rPr>
      </w:pPr>
      <w:r>
        <w:rPr>
          <w:rFonts w:hint="eastAsia" w:asciiTheme="minorEastAsia" w:hAnsiTheme="minorEastAsia"/>
          <w:sz w:val="24"/>
          <w:szCs w:val="24"/>
        </w:rPr>
        <w:t>（2）进口产品，须同时提供原版与中文的相关说明书。</w:t>
      </w:r>
    </w:p>
    <w:p>
      <w:pPr>
        <w:spacing w:line="300" w:lineRule="auto"/>
        <w:rPr>
          <w:rFonts w:asciiTheme="minorEastAsia" w:hAnsiTheme="minorEastAsia"/>
          <w:sz w:val="24"/>
          <w:szCs w:val="24"/>
        </w:rPr>
      </w:pPr>
      <w:r>
        <w:rPr>
          <w:rFonts w:hint="eastAsia" w:asciiTheme="minorEastAsia" w:hAnsiTheme="minorEastAsia"/>
          <w:sz w:val="24"/>
          <w:szCs w:val="24"/>
        </w:rPr>
        <w:t>5、接到院方通知后保证24小时内配送到达服务，保障临床需求。</w:t>
      </w:r>
    </w:p>
    <w:p>
      <w:pPr>
        <w:spacing w:line="300" w:lineRule="auto"/>
        <w:rPr>
          <w:rFonts w:asciiTheme="minorEastAsia" w:hAnsiTheme="minorEastAsia"/>
          <w:sz w:val="24"/>
          <w:szCs w:val="24"/>
        </w:rPr>
      </w:pPr>
      <w:r>
        <w:rPr>
          <w:rFonts w:hint="eastAsia" w:asciiTheme="minorEastAsia" w:hAnsiTheme="minorEastAsia"/>
          <w:sz w:val="24"/>
          <w:szCs w:val="24"/>
        </w:rPr>
        <w:t>6、提供的产品需符合国家关于质量、运输、存储、安全的规定与要求，并通过实验室质量管理要求的相关性能验证。</w:t>
      </w:r>
    </w:p>
    <w:p>
      <w:pPr>
        <w:spacing w:line="300" w:lineRule="auto"/>
        <w:rPr>
          <w:rFonts w:asciiTheme="minorEastAsia" w:hAnsiTheme="minorEastAsia"/>
          <w:sz w:val="24"/>
          <w:szCs w:val="24"/>
        </w:rPr>
      </w:pPr>
      <w:r>
        <w:rPr>
          <w:rFonts w:hint="eastAsia" w:asciiTheme="minorEastAsia" w:hAnsiTheme="minorEastAsia"/>
          <w:sz w:val="24"/>
          <w:szCs w:val="24"/>
        </w:rPr>
        <w:t>7、提供完善的培训、指导等技术支持，保障临床应用。</w:t>
      </w:r>
    </w:p>
    <w:p>
      <w:pPr>
        <w:spacing w:line="300" w:lineRule="auto"/>
        <w:rPr>
          <w:rFonts w:asciiTheme="minorEastAsia" w:hAnsiTheme="minorEastAsia"/>
          <w:sz w:val="24"/>
          <w:szCs w:val="24"/>
        </w:rPr>
      </w:pPr>
      <w:r>
        <w:rPr>
          <w:rFonts w:hint="eastAsia" w:asciiTheme="minorEastAsia" w:hAnsiTheme="minorEastAsia"/>
          <w:sz w:val="24"/>
          <w:szCs w:val="24"/>
        </w:rPr>
        <w:t>8、提供完善的应急预案，以保证出现突发或意外情况时，不影响院方的正常工作。应急预案应包括：产品的应急、物流的应急等。</w:t>
      </w:r>
    </w:p>
    <w:p>
      <w:pPr>
        <w:spacing w:line="300" w:lineRule="auto"/>
        <w:rPr>
          <w:rFonts w:asciiTheme="minorEastAsia" w:hAnsiTheme="minorEastAsia"/>
          <w:sz w:val="24"/>
          <w:szCs w:val="24"/>
        </w:rPr>
      </w:pPr>
      <w:r>
        <w:rPr>
          <w:rFonts w:hint="eastAsia" w:asciiTheme="minorEastAsia" w:hAnsiTheme="minorEastAsia"/>
          <w:sz w:val="24"/>
          <w:szCs w:val="24"/>
        </w:rPr>
        <w:t>9、保障产品质量并及时供应，并接受院方因为临床需求变更、产品升级及其它质量、价格等变化而提出的服务期结束要求。</w:t>
      </w:r>
    </w:p>
    <w:p>
      <w:pPr>
        <w:spacing w:line="300" w:lineRule="auto"/>
        <w:rPr>
          <w:rFonts w:asciiTheme="minorEastAsia" w:hAnsiTheme="minorEastAsia"/>
          <w:sz w:val="24"/>
          <w:szCs w:val="24"/>
        </w:rPr>
      </w:pPr>
      <w:r>
        <w:rPr>
          <w:rFonts w:hint="eastAsia" w:asciiTheme="minorEastAsia" w:hAnsiTheme="minorEastAsia"/>
          <w:sz w:val="24"/>
          <w:szCs w:val="24"/>
        </w:rPr>
        <w:t>10、院方在实际使用过程中，若发现无效产品，或出现产品与医疗器械注册证等相关证明文件的信息不相符的情况，供应商须无偿补足损耗并承担相应责任。</w:t>
      </w:r>
    </w:p>
    <w:p>
      <w:pPr>
        <w:spacing w:line="300" w:lineRule="auto"/>
        <w:rPr>
          <w:rFonts w:asciiTheme="minorEastAsia" w:hAnsiTheme="minorEastAsia"/>
          <w:sz w:val="24"/>
          <w:szCs w:val="24"/>
        </w:rPr>
      </w:pPr>
      <w:r>
        <w:rPr>
          <w:rFonts w:hint="eastAsia" w:asciiTheme="minorEastAsia" w:hAnsiTheme="minorEastAsia"/>
          <w:sz w:val="24"/>
          <w:szCs w:val="24"/>
        </w:rPr>
        <w:t>11、院方在实际使用过程中，若发现有不合格产品，供应商须对所有剩余产品进行无条件更换。</w:t>
      </w:r>
    </w:p>
    <w:p>
      <w:pPr>
        <w:spacing w:line="300" w:lineRule="auto"/>
        <w:rPr>
          <w:rFonts w:asciiTheme="minorEastAsia" w:hAnsiTheme="minorEastAsia"/>
          <w:sz w:val="24"/>
          <w:szCs w:val="24"/>
        </w:rPr>
      </w:pPr>
      <w:r>
        <w:rPr>
          <w:rFonts w:hint="eastAsia" w:asciiTheme="minorEastAsia" w:hAnsiTheme="minorEastAsia"/>
          <w:sz w:val="24"/>
          <w:szCs w:val="24"/>
        </w:rPr>
        <w:t>12、供应商所供货物自用户验收之日起计算，剩余有效期要求≥6个月；对有效期≤6个月的货物，供应商须在产品有效期内提供无条件更换服务。</w:t>
      </w:r>
    </w:p>
    <w:p>
      <w:pPr>
        <w:spacing w:line="300" w:lineRule="auto"/>
        <w:rPr>
          <w:rFonts w:asciiTheme="minorEastAsia" w:hAnsiTheme="minorEastAsia"/>
          <w:sz w:val="24"/>
          <w:szCs w:val="24"/>
        </w:rPr>
      </w:pPr>
      <w:r>
        <w:rPr>
          <w:rFonts w:hint="eastAsia" w:asciiTheme="minorEastAsia" w:hAnsiTheme="minorEastAsia"/>
          <w:sz w:val="24"/>
          <w:szCs w:val="24"/>
        </w:rPr>
        <w:t>13、积极配合院方完成相关质控工作。</w:t>
      </w:r>
    </w:p>
    <w:p>
      <w:pPr>
        <w:spacing w:line="300" w:lineRule="auto"/>
        <w:rPr>
          <w:rFonts w:asciiTheme="minorEastAsia" w:hAnsiTheme="minorEastAsia"/>
          <w:sz w:val="24"/>
          <w:szCs w:val="24"/>
        </w:rPr>
      </w:pPr>
      <w:r>
        <w:rPr>
          <w:rFonts w:hint="eastAsia" w:asciiTheme="minorEastAsia" w:hAnsiTheme="minorEastAsia"/>
          <w:sz w:val="24"/>
          <w:szCs w:val="24"/>
        </w:rPr>
        <w:t>14、产品在上海市临检中心室间质控检测中出现不合格的，院方有权废除其中选资格，结束其服务，且由此产生的费用由供应商承担。</w:t>
      </w:r>
    </w:p>
    <w:p>
      <w:pPr>
        <w:spacing w:line="300" w:lineRule="auto"/>
        <w:rPr>
          <w:rFonts w:asciiTheme="minorEastAsia" w:hAnsiTheme="minorEastAsia"/>
          <w:sz w:val="24"/>
          <w:szCs w:val="24"/>
        </w:rPr>
      </w:pPr>
      <w:r>
        <w:rPr>
          <w:rFonts w:hint="eastAsia" w:asciiTheme="minorEastAsia" w:hAnsiTheme="minorEastAsia"/>
          <w:sz w:val="24"/>
          <w:szCs w:val="24"/>
        </w:rPr>
        <w:t>15、若因产品质量问题或技术支持不够完善，引起的患者伤害及一切不良后果，供应商将承担由此引发的全部法律责任及经济赔偿。</w:t>
      </w:r>
    </w:p>
    <w:p>
      <w:pPr>
        <w:widowControl/>
        <w:wordWrap w:val="0"/>
        <w:spacing w:line="193" w:lineRule="atLeast"/>
        <w:rPr>
          <w:rFonts w:asciiTheme="minorEastAsia" w:hAnsiTheme="minorEastAsia"/>
          <w:sz w:val="24"/>
          <w:szCs w:val="24"/>
        </w:rPr>
      </w:pPr>
      <w:r>
        <w:rPr>
          <w:rFonts w:hint="eastAsia" w:asciiTheme="minorEastAsia" w:hAnsiTheme="minorEastAsia"/>
          <w:sz w:val="24"/>
          <w:szCs w:val="24"/>
        </w:rPr>
        <w:t>四、报价一览表（公司须按照如下报价要求进行报价）</w:t>
      </w:r>
    </w:p>
    <w:p>
      <w:pPr>
        <w:widowControl/>
        <w:wordWrap w:val="0"/>
        <w:spacing w:line="193" w:lineRule="atLeast"/>
        <w:rPr>
          <w:rFonts w:asciiTheme="minorEastAsia" w:hAnsiTheme="minorEastAsia"/>
          <w:sz w:val="24"/>
          <w:szCs w:val="24"/>
        </w:rPr>
      </w:pPr>
      <w:r>
        <w:rPr>
          <w:rFonts w:hint="eastAsia" w:asciiTheme="minorEastAsia" w:hAnsiTheme="minorEastAsia"/>
          <w:sz w:val="24"/>
          <w:szCs w:val="24"/>
        </w:rPr>
        <w:t>（说明：若试剂为非人份包装，单人份投标价格需按照每毫升报价除以厂家说明书注明的每毫升理论测试数提供）</w:t>
      </w:r>
    </w:p>
    <w:tbl>
      <w:tblPr>
        <w:tblStyle w:val="6"/>
        <w:tblW w:w="4750" w:type="pct"/>
        <w:tblInd w:w="0" w:type="dxa"/>
        <w:tblLayout w:type="autofit"/>
        <w:tblCellMar>
          <w:top w:w="0" w:type="dxa"/>
          <w:left w:w="0" w:type="dxa"/>
          <w:bottom w:w="0" w:type="dxa"/>
          <w:right w:w="0" w:type="dxa"/>
        </w:tblCellMar>
      </w:tblPr>
      <w:tblGrid>
        <w:gridCol w:w="426"/>
        <w:gridCol w:w="890"/>
        <w:gridCol w:w="636"/>
        <w:gridCol w:w="628"/>
        <w:gridCol w:w="426"/>
        <w:gridCol w:w="846"/>
        <w:gridCol w:w="426"/>
        <w:gridCol w:w="426"/>
        <w:gridCol w:w="636"/>
        <w:gridCol w:w="742"/>
        <w:gridCol w:w="636"/>
        <w:gridCol w:w="636"/>
        <w:gridCol w:w="742"/>
      </w:tblGrid>
      <w:tr>
        <w:tblPrEx>
          <w:tblCellMar>
            <w:top w:w="0" w:type="dxa"/>
            <w:left w:w="0" w:type="dxa"/>
            <w:bottom w:w="0" w:type="dxa"/>
            <w:right w:w="0" w:type="dxa"/>
          </w:tblCellMar>
        </w:tblPrEx>
        <w:trPr>
          <w:trHeight w:val="3120" w:hRule="atLeast"/>
        </w:trPr>
        <w:tc>
          <w:tcPr>
            <w:tcW w:w="26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hint="eastAsia" w:ascii="宋体" w:hAnsi="宋体" w:eastAsia="宋体" w:cs="宋体"/>
                <w:color w:val="000000"/>
                <w:kern w:val="0"/>
                <w:szCs w:val="21"/>
              </w:rPr>
              <w:t>序号</w:t>
            </w:r>
          </w:p>
        </w:tc>
        <w:tc>
          <w:tcPr>
            <w:tcW w:w="55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hint="eastAsia" w:ascii="宋体" w:hAnsi="宋体" w:eastAsia="宋体" w:cs="宋体"/>
                <w:color w:val="000000"/>
                <w:kern w:val="0"/>
                <w:szCs w:val="21"/>
              </w:rPr>
              <w:t>试剂名称</w:t>
            </w:r>
          </w:p>
        </w:tc>
        <w:tc>
          <w:tcPr>
            <w:tcW w:w="39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hint="eastAsia" w:ascii="宋体" w:hAnsi="宋体" w:eastAsia="宋体" w:cs="宋体"/>
                <w:color w:val="000000"/>
                <w:kern w:val="0"/>
                <w:szCs w:val="21"/>
              </w:rPr>
              <w:t>年应用量（估计）</w:t>
            </w:r>
          </w:p>
        </w:tc>
        <w:tc>
          <w:tcPr>
            <w:tcW w:w="388"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hint="eastAsia" w:ascii="宋体" w:hAnsi="宋体" w:eastAsia="宋体" w:cs="宋体"/>
                <w:color w:val="000000"/>
                <w:kern w:val="0"/>
                <w:szCs w:val="21"/>
              </w:rPr>
              <w:t>项目收费代码</w:t>
            </w:r>
          </w:p>
        </w:tc>
        <w:tc>
          <w:tcPr>
            <w:tcW w:w="26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hint="eastAsia" w:ascii="宋体" w:hAnsi="宋体" w:eastAsia="宋体" w:cs="宋体"/>
                <w:color w:val="000000"/>
                <w:kern w:val="0"/>
                <w:szCs w:val="21"/>
              </w:rPr>
              <w:t>项目收费名称</w:t>
            </w:r>
          </w:p>
        </w:tc>
        <w:tc>
          <w:tcPr>
            <w:tcW w:w="52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hint="eastAsia" w:ascii="宋体" w:hAnsi="宋体" w:eastAsia="宋体" w:cs="宋体"/>
                <w:color w:val="000000"/>
                <w:kern w:val="0"/>
                <w:szCs w:val="21"/>
              </w:rPr>
              <w:t>项目收费价格（元）</w:t>
            </w:r>
          </w:p>
        </w:tc>
        <w:tc>
          <w:tcPr>
            <w:tcW w:w="26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252" w:lineRule="atLeast"/>
              <w:rPr>
                <w:rFonts w:ascii="Calibri" w:hAnsi="Calibri" w:eastAsia="宋体" w:cs="宋体"/>
                <w:kern w:val="0"/>
                <w:szCs w:val="21"/>
              </w:rPr>
            </w:pPr>
            <w:r>
              <w:rPr>
                <w:rFonts w:hint="eastAsia" w:ascii="宋体" w:hAnsi="宋体" w:eastAsia="宋体" w:cs="宋体"/>
                <w:color w:val="000000"/>
                <w:kern w:val="0"/>
                <w:szCs w:val="21"/>
              </w:rPr>
              <w:t>注册证名称</w:t>
            </w:r>
          </w:p>
        </w:tc>
        <w:tc>
          <w:tcPr>
            <w:tcW w:w="26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252" w:lineRule="atLeast"/>
              <w:rPr>
                <w:rFonts w:ascii="Calibri" w:hAnsi="Calibri" w:eastAsia="宋体" w:cs="宋体"/>
                <w:kern w:val="0"/>
                <w:szCs w:val="21"/>
              </w:rPr>
            </w:pPr>
            <w:r>
              <w:rPr>
                <w:rFonts w:hint="eastAsia" w:ascii="宋体" w:hAnsi="宋体" w:eastAsia="宋体" w:cs="宋体"/>
                <w:color w:val="000000"/>
                <w:kern w:val="0"/>
                <w:szCs w:val="21"/>
              </w:rPr>
              <w:t>注册证号</w:t>
            </w:r>
          </w:p>
        </w:tc>
        <w:tc>
          <w:tcPr>
            <w:tcW w:w="39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hint="eastAsia" w:ascii="宋体" w:hAnsi="宋体" w:eastAsia="宋体" w:cs="宋体"/>
                <w:color w:val="000000"/>
                <w:kern w:val="0"/>
                <w:szCs w:val="21"/>
              </w:rPr>
              <w:t>订货单位报价（元/瓶）</w:t>
            </w:r>
          </w:p>
        </w:tc>
        <w:tc>
          <w:tcPr>
            <w:tcW w:w="458"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hint="eastAsia" w:ascii="宋体" w:hAnsi="宋体" w:eastAsia="宋体" w:cs="宋体"/>
                <w:color w:val="000000"/>
                <w:kern w:val="0"/>
                <w:szCs w:val="21"/>
              </w:rPr>
              <w:t>包装规格（ml/瓶）</w:t>
            </w:r>
          </w:p>
        </w:tc>
        <w:tc>
          <w:tcPr>
            <w:tcW w:w="39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hint="eastAsia" w:ascii="宋体" w:hAnsi="宋体" w:eastAsia="宋体" w:cs="宋体"/>
                <w:color w:val="000000"/>
                <w:kern w:val="0"/>
                <w:szCs w:val="21"/>
              </w:rPr>
              <w:t>每订货单元标准测试数（人份/瓶）</w:t>
            </w:r>
          </w:p>
        </w:tc>
        <w:tc>
          <w:tcPr>
            <w:tcW w:w="39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hint="eastAsia" w:ascii="宋体" w:hAnsi="宋体" w:eastAsia="宋体" w:cs="宋体"/>
                <w:color w:val="000000"/>
                <w:kern w:val="0"/>
                <w:szCs w:val="21"/>
              </w:rPr>
              <w:t>单人份价格（元/人份）</w:t>
            </w:r>
          </w:p>
        </w:tc>
        <w:tc>
          <w:tcPr>
            <w:tcW w:w="458"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hint="eastAsia" w:ascii="宋体" w:hAnsi="宋体" w:eastAsia="宋体" w:cs="宋体"/>
                <w:color w:val="000000"/>
                <w:kern w:val="0"/>
                <w:szCs w:val="21"/>
              </w:rPr>
              <w:t>折扣率（%）（折扣率=单人份价格/项目收费价格）</w:t>
            </w:r>
          </w:p>
        </w:tc>
      </w:tr>
      <w:tr>
        <w:tblPrEx>
          <w:tblCellMar>
            <w:top w:w="0" w:type="dxa"/>
            <w:left w:w="0" w:type="dxa"/>
            <w:bottom w:w="0" w:type="dxa"/>
            <w:right w:w="0" w:type="dxa"/>
          </w:tblCellMar>
        </w:tblPrEx>
        <w:trPr>
          <w:trHeight w:val="600" w:hRule="atLeast"/>
        </w:trPr>
        <w:tc>
          <w:tcPr>
            <w:tcW w:w="26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hint="eastAsia" w:ascii="宋体" w:hAnsi="宋体" w:eastAsia="宋体" w:cs="宋体"/>
                <w:color w:val="000000"/>
                <w:kern w:val="0"/>
                <w:szCs w:val="21"/>
              </w:rPr>
              <w:t>1</w:t>
            </w:r>
          </w:p>
        </w:tc>
        <w:tc>
          <w:tcPr>
            <w:tcW w:w="550"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39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388"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26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522"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26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26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39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458"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39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39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458"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600" w:hRule="atLeast"/>
        </w:trPr>
        <w:tc>
          <w:tcPr>
            <w:tcW w:w="26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hint="eastAsia" w:ascii="Calibri" w:hAnsi="Calibri" w:eastAsia="宋体" w:cs="宋体"/>
                <w:kern w:val="0"/>
                <w:szCs w:val="21"/>
              </w:rPr>
              <w:t>2</w:t>
            </w:r>
          </w:p>
        </w:tc>
        <w:tc>
          <w:tcPr>
            <w:tcW w:w="550"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39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388"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26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522"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26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26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39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458"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ascii="Calibri" w:hAnsi="Calibri" w:eastAsia="宋体" w:cs="宋体"/>
                <w:kern w:val="0"/>
                <w:szCs w:val="21"/>
              </w:rPr>
              <w:t> </w:t>
            </w:r>
          </w:p>
        </w:tc>
        <w:tc>
          <w:tcPr>
            <w:tcW w:w="39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ascii="Calibri" w:hAnsi="Calibri" w:eastAsia="宋体" w:cs="宋体"/>
                <w:kern w:val="0"/>
                <w:szCs w:val="21"/>
              </w:rPr>
              <w:t> </w:t>
            </w:r>
          </w:p>
        </w:tc>
        <w:tc>
          <w:tcPr>
            <w:tcW w:w="39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ascii="Calibri" w:hAnsi="Calibri" w:eastAsia="宋体" w:cs="宋体"/>
                <w:kern w:val="0"/>
                <w:szCs w:val="21"/>
              </w:rPr>
              <w:t> </w:t>
            </w:r>
          </w:p>
        </w:tc>
        <w:tc>
          <w:tcPr>
            <w:tcW w:w="458"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hint="eastAsia" w:ascii="宋体" w:hAnsi="宋体" w:eastAsia="宋体" w:cs="宋体"/>
                <w:color w:val="000000"/>
                <w:kern w:val="0"/>
                <w:szCs w:val="21"/>
              </w:rPr>
              <w:t>　</w:t>
            </w:r>
          </w:p>
        </w:tc>
      </w:tr>
      <w:tr>
        <w:tblPrEx>
          <w:tblCellMar>
            <w:top w:w="0" w:type="dxa"/>
            <w:left w:w="0" w:type="dxa"/>
            <w:bottom w:w="0" w:type="dxa"/>
            <w:right w:w="0" w:type="dxa"/>
          </w:tblCellMar>
        </w:tblPrEx>
        <w:trPr>
          <w:trHeight w:val="600" w:hRule="atLeast"/>
        </w:trPr>
        <w:tc>
          <w:tcPr>
            <w:tcW w:w="26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hint="eastAsia" w:ascii="Calibri" w:hAnsi="Calibri" w:eastAsia="宋体" w:cs="宋体"/>
                <w:kern w:val="0"/>
                <w:szCs w:val="21"/>
              </w:rPr>
              <w:t>3</w:t>
            </w:r>
          </w:p>
        </w:tc>
        <w:tc>
          <w:tcPr>
            <w:tcW w:w="550"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39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388"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26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522"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26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26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39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458"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39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39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458"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宋体" w:hAnsi="宋体" w:eastAsia="宋体" w:cs="宋体"/>
                <w:color w:val="000000"/>
                <w:kern w:val="0"/>
                <w:szCs w:val="21"/>
              </w:rPr>
            </w:pPr>
          </w:p>
        </w:tc>
      </w:tr>
      <w:tr>
        <w:tblPrEx>
          <w:tblCellMar>
            <w:top w:w="0" w:type="dxa"/>
            <w:left w:w="0" w:type="dxa"/>
            <w:bottom w:w="0" w:type="dxa"/>
            <w:right w:w="0" w:type="dxa"/>
          </w:tblCellMar>
        </w:tblPrEx>
        <w:trPr>
          <w:trHeight w:val="600" w:hRule="atLeast"/>
        </w:trPr>
        <w:tc>
          <w:tcPr>
            <w:tcW w:w="26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ascii="Calibri" w:hAnsi="Calibri" w:eastAsia="宋体" w:cs="宋体"/>
                <w:kern w:val="0"/>
                <w:szCs w:val="21"/>
              </w:rPr>
              <w:t>…</w:t>
            </w:r>
          </w:p>
        </w:tc>
        <w:tc>
          <w:tcPr>
            <w:tcW w:w="550"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39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388"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26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522"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26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26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39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p>
        </w:tc>
        <w:tc>
          <w:tcPr>
            <w:tcW w:w="458"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ascii="Calibri" w:hAnsi="Calibri" w:eastAsia="宋体" w:cs="宋体"/>
                <w:kern w:val="0"/>
                <w:szCs w:val="21"/>
              </w:rPr>
              <w:t> </w:t>
            </w:r>
          </w:p>
        </w:tc>
        <w:tc>
          <w:tcPr>
            <w:tcW w:w="39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ascii="Calibri" w:hAnsi="Calibri" w:eastAsia="宋体" w:cs="宋体"/>
                <w:kern w:val="0"/>
                <w:szCs w:val="21"/>
              </w:rPr>
              <w:t> </w:t>
            </w:r>
          </w:p>
        </w:tc>
        <w:tc>
          <w:tcPr>
            <w:tcW w:w="393"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ascii="Calibri" w:hAnsi="Calibri" w:eastAsia="宋体" w:cs="宋体"/>
                <w:kern w:val="0"/>
                <w:szCs w:val="21"/>
              </w:rPr>
              <w:t> </w:t>
            </w:r>
          </w:p>
        </w:tc>
        <w:tc>
          <w:tcPr>
            <w:tcW w:w="458" w:type="pct"/>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rFonts w:ascii="Calibri" w:hAnsi="Calibri" w:eastAsia="宋体" w:cs="宋体"/>
                <w:kern w:val="0"/>
                <w:szCs w:val="21"/>
              </w:rPr>
            </w:pPr>
            <w:r>
              <w:rPr>
                <w:rFonts w:ascii="Calibri" w:hAnsi="Calibri" w:eastAsia="宋体" w:cs="宋体"/>
                <w:kern w:val="0"/>
                <w:szCs w:val="21"/>
              </w:rPr>
              <w:t> </w:t>
            </w:r>
          </w:p>
        </w:tc>
      </w:tr>
    </w:tbl>
    <w:p>
      <w:pPr>
        <w:widowControl/>
        <w:wordWrap w:val="0"/>
        <w:spacing w:line="193" w:lineRule="atLeast"/>
        <w:rPr>
          <w:rFonts w:asciiTheme="minorEastAsia" w:hAnsiTheme="minorEastAsia"/>
          <w:sz w:val="24"/>
          <w:szCs w:val="24"/>
        </w:rPr>
      </w:pPr>
    </w:p>
    <w:p>
      <w:pPr>
        <w:widowControl/>
        <w:wordWrap w:val="0"/>
        <w:spacing w:line="193" w:lineRule="atLeast"/>
        <w:rPr>
          <w:rFonts w:asciiTheme="minorEastAsia" w:hAnsiTheme="minorEastAsia"/>
          <w:sz w:val="24"/>
          <w:szCs w:val="24"/>
        </w:rPr>
      </w:pPr>
      <w:r>
        <w:rPr>
          <w:rFonts w:hint="eastAsia" w:asciiTheme="minorEastAsia" w:hAnsiTheme="minorEastAsia"/>
          <w:sz w:val="24"/>
          <w:szCs w:val="24"/>
        </w:rPr>
        <w:t>五、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pPr>
        <w:widowControl/>
        <w:wordWrap w:val="0"/>
        <w:spacing w:line="193" w:lineRule="atLeast"/>
        <w:rPr>
          <w:rFonts w:asciiTheme="minorEastAsia" w:hAnsiTheme="minorEastAsia"/>
          <w:sz w:val="24"/>
          <w:szCs w:val="24"/>
        </w:rPr>
      </w:pPr>
      <w:r>
        <w:rPr>
          <w:rFonts w:hint="eastAsia" w:asciiTheme="minorEastAsia" w:hAnsiTheme="minorEastAsia"/>
          <w:sz w:val="24"/>
          <w:szCs w:val="24"/>
        </w:rPr>
        <w:t>六、资料准备：公司（企业）营业执照、生产（经营）许可证、厂商授权书(必须为一级代理或二级代理,二级代理必须为上海区域总代理)、法人代表授权书、医疗器械产品注册证、上海市收费信息、报价单、产品质量保证书，提供”信用中国”查询结果截图及其他一切有效证书的复印件，加盖公司公章。所有资料必须以档案袋密封,密封处加盖公司骑缝公章,且非格式报价单、开口报价单均无效</w:t>
      </w:r>
      <w:r>
        <w:rPr>
          <w:rFonts w:asciiTheme="minorEastAsia" w:hAnsiTheme="minorEastAsia"/>
          <w:sz w:val="24"/>
          <w:szCs w:val="24"/>
        </w:rPr>
        <w:t>,</w:t>
      </w:r>
      <w:r>
        <w:rPr>
          <w:rFonts w:hint="eastAsia" w:asciiTheme="minorEastAsia" w:hAnsiTheme="minorEastAsia"/>
          <w:sz w:val="24"/>
          <w:szCs w:val="24"/>
        </w:rPr>
        <w:t>不符合以上要求的资料一律作为无效资料处理</w:t>
      </w:r>
      <w:r>
        <w:rPr>
          <w:rFonts w:asciiTheme="minorEastAsia" w:hAnsiTheme="minorEastAsia"/>
          <w:sz w:val="24"/>
          <w:szCs w:val="24"/>
        </w:rPr>
        <w:t>,</w:t>
      </w:r>
      <w:r>
        <w:rPr>
          <w:rFonts w:hint="eastAsia" w:asciiTheme="minorEastAsia" w:hAnsiTheme="minorEastAsia"/>
          <w:sz w:val="24"/>
          <w:szCs w:val="24"/>
        </w:rPr>
        <w:t>不具备遴选资格。</w:t>
      </w:r>
    </w:p>
    <w:p>
      <w:pPr>
        <w:widowControl/>
        <w:wordWrap w:val="0"/>
        <w:spacing w:line="193" w:lineRule="atLeast"/>
        <w:rPr>
          <w:rFonts w:asciiTheme="minorEastAsia" w:hAnsiTheme="minorEastAsia"/>
          <w:sz w:val="24"/>
          <w:szCs w:val="24"/>
        </w:rPr>
      </w:pPr>
      <w:r>
        <w:rPr>
          <w:rFonts w:hint="eastAsia" w:asciiTheme="minorEastAsia" w:hAnsiTheme="minorEastAsia"/>
          <w:sz w:val="24"/>
          <w:szCs w:val="24"/>
        </w:rPr>
        <w:t>七、供应期限：遴选最终确定的产品，供应产品质量及服务达到要求的，供应期限为36个月。</w:t>
      </w:r>
    </w:p>
    <w:p>
      <w:pPr>
        <w:widowControl/>
        <w:wordWrap w:val="0"/>
        <w:spacing w:line="193" w:lineRule="atLeast"/>
        <w:rPr>
          <w:rFonts w:asciiTheme="minorEastAsia" w:hAnsiTheme="minorEastAsia"/>
          <w:sz w:val="24"/>
          <w:szCs w:val="24"/>
        </w:rPr>
      </w:pPr>
      <w:r>
        <w:rPr>
          <w:rFonts w:hint="eastAsia" w:asciiTheme="minorEastAsia" w:hAnsiTheme="minorEastAsia"/>
          <w:sz w:val="24"/>
          <w:szCs w:val="24"/>
        </w:rPr>
        <w:t>八、付款周期：对账日期后3个月。</w:t>
      </w:r>
    </w:p>
    <w:p>
      <w:pPr>
        <w:widowControl/>
        <w:wordWrap w:val="0"/>
        <w:spacing w:line="193" w:lineRule="atLeast"/>
        <w:rPr>
          <w:rFonts w:asciiTheme="minorEastAsia" w:hAnsiTheme="minorEastAsia"/>
          <w:sz w:val="24"/>
          <w:szCs w:val="24"/>
        </w:rPr>
      </w:pPr>
      <w:r>
        <w:rPr>
          <w:rFonts w:hint="eastAsia" w:asciiTheme="minorEastAsia" w:hAnsiTheme="minorEastAsia"/>
          <w:sz w:val="24"/>
          <w:szCs w:val="24"/>
        </w:rPr>
        <w:t>九、特别备注：由于遴选试剂不能单独完成应用或检测要求的，或与甲方现有设备不相兼容的，经双方协商，乙方需提供完成检查检测的相关设备及附件。</w:t>
      </w:r>
    </w:p>
    <w:p>
      <w:pPr>
        <w:widowControl/>
        <w:wordWrap w:val="0"/>
        <w:spacing w:line="193" w:lineRule="atLeast"/>
        <w:rPr>
          <w:rFonts w:ascii="Calibri" w:hAnsi="Calibri" w:eastAsia="微软雅黑" w:cs="宋体"/>
          <w:color w:val="333333"/>
          <w:kern w:val="0"/>
          <w:szCs w:val="21"/>
        </w:rPr>
      </w:pPr>
      <w:r>
        <w:rPr>
          <w:rFonts w:ascii="Calibri" w:hAnsi="Calibri" w:eastAsia="微软雅黑" w:cs="宋体"/>
          <w:color w:val="333333"/>
          <w:kern w:val="0"/>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right="0"/>
        <w:jc w:val="both"/>
        <w:rPr>
          <w:rFonts w:hint="default" w:ascii="Calibri" w:hAnsi="Calibri" w:cs="Calibri"/>
          <w:i w:val="0"/>
          <w:caps w:val="0"/>
          <w:color w:val="333333"/>
          <w:spacing w:val="0"/>
          <w:sz w:val="21"/>
          <w:szCs w:val="21"/>
        </w:rPr>
      </w:pPr>
      <w:r>
        <w:rPr>
          <w:rFonts w:hint="eastAsia" w:ascii="宋体" w:hAnsi="宋体" w:eastAsia="宋体" w:cs="宋体"/>
          <w:b/>
          <w:i w:val="0"/>
          <w:caps w:val="0"/>
          <w:color w:val="000000"/>
          <w:spacing w:val="0"/>
          <w:sz w:val="24"/>
          <w:szCs w:val="24"/>
          <w:shd w:val="clear" w:color="auto" w:fill="FFFFFF"/>
        </w:rPr>
        <w:t>资料提交截止时间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default" w:ascii="Calibri" w:hAnsi="Calibri" w:cs="Calibri"/>
          <w:i w:val="0"/>
          <w:caps w:val="0"/>
          <w:color w:val="333333"/>
          <w:spacing w:val="0"/>
          <w:sz w:val="21"/>
          <w:szCs w:val="21"/>
        </w:rPr>
      </w:pPr>
      <w:r>
        <w:rPr>
          <w:rFonts w:hint="eastAsia" w:ascii="宋体" w:hAnsi="宋体" w:eastAsia="宋体" w:cs="宋体"/>
          <w:i w:val="0"/>
          <w:caps w:val="0"/>
          <w:color w:val="333333"/>
          <w:spacing w:val="0"/>
          <w:sz w:val="24"/>
          <w:szCs w:val="24"/>
          <w:shd w:val="clear" w:color="auto" w:fill="FFFFFF"/>
        </w:rPr>
        <w:t>202</w:t>
      </w:r>
      <w:r>
        <w:rPr>
          <w:rFonts w:hint="eastAsia" w:ascii="宋体" w:hAnsi="宋体" w:cs="宋体"/>
          <w:i w:val="0"/>
          <w:caps w:val="0"/>
          <w:color w:val="333333"/>
          <w:spacing w:val="0"/>
          <w:sz w:val="24"/>
          <w:szCs w:val="24"/>
          <w:shd w:val="clear" w:color="auto" w:fill="FFFFFF"/>
          <w:lang w:val="en-US" w:eastAsia="zh-CN"/>
        </w:rPr>
        <w:t>1</w:t>
      </w:r>
      <w:r>
        <w:rPr>
          <w:rFonts w:hint="eastAsia" w:ascii="宋体" w:hAnsi="宋体" w:eastAsia="宋体" w:cs="宋体"/>
          <w:i w:val="0"/>
          <w:caps w:val="0"/>
          <w:color w:val="333333"/>
          <w:spacing w:val="0"/>
          <w:sz w:val="24"/>
          <w:szCs w:val="24"/>
          <w:shd w:val="clear" w:color="auto" w:fill="FFFFFF"/>
        </w:rPr>
        <w:t>年</w:t>
      </w:r>
      <w:r>
        <w:rPr>
          <w:rFonts w:hint="eastAsia" w:ascii="宋体" w:hAnsi="宋体" w:cs="宋体"/>
          <w:i w:val="0"/>
          <w:caps w:val="0"/>
          <w:color w:val="FF0000"/>
          <w:spacing w:val="0"/>
          <w:sz w:val="24"/>
          <w:szCs w:val="24"/>
          <w:shd w:val="clear" w:color="auto" w:fill="FFFFFF"/>
          <w:lang w:val="en-US" w:eastAsia="zh-CN"/>
        </w:rPr>
        <w:t>2</w:t>
      </w:r>
      <w:r>
        <w:rPr>
          <w:rFonts w:hint="eastAsia" w:ascii="宋体" w:hAnsi="宋体" w:eastAsia="宋体" w:cs="宋体"/>
          <w:i w:val="0"/>
          <w:caps w:val="0"/>
          <w:color w:val="FF0000"/>
          <w:spacing w:val="0"/>
          <w:sz w:val="24"/>
          <w:szCs w:val="24"/>
          <w:shd w:val="clear" w:color="auto" w:fill="FFFFFF"/>
        </w:rPr>
        <w:t>月</w:t>
      </w:r>
      <w:r>
        <w:rPr>
          <w:rFonts w:hint="eastAsia" w:ascii="宋体" w:hAnsi="宋体" w:cs="宋体"/>
          <w:i w:val="0"/>
          <w:caps w:val="0"/>
          <w:color w:val="FF0000"/>
          <w:spacing w:val="0"/>
          <w:sz w:val="24"/>
          <w:szCs w:val="24"/>
          <w:shd w:val="clear" w:color="auto" w:fill="FFFFFF"/>
          <w:lang w:val="en-US" w:eastAsia="zh-CN"/>
        </w:rPr>
        <w:t>22</w:t>
      </w:r>
      <w:r>
        <w:rPr>
          <w:rFonts w:hint="eastAsia" w:ascii="宋体" w:hAnsi="宋体" w:eastAsia="宋体" w:cs="宋体"/>
          <w:i w:val="0"/>
          <w:caps w:val="0"/>
          <w:color w:val="FF0000"/>
          <w:spacing w:val="0"/>
          <w:sz w:val="24"/>
          <w:szCs w:val="24"/>
          <w:shd w:val="clear" w:color="auto" w:fill="FFFFFF"/>
        </w:rPr>
        <w:t>日</w:t>
      </w:r>
      <w:r>
        <w:rPr>
          <w:rFonts w:hint="eastAsia" w:ascii="宋体" w:hAnsi="宋体" w:cs="宋体"/>
          <w:i w:val="0"/>
          <w:caps w:val="0"/>
          <w:color w:val="FF0000"/>
          <w:spacing w:val="0"/>
          <w:sz w:val="24"/>
          <w:szCs w:val="24"/>
          <w:shd w:val="clear" w:color="auto" w:fill="FFFFFF"/>
          <w:lang w:eastAsia="zh-CN"/>
        </w:rPr>
        <w:t>上</w:t>
      </w:r>
      <w:r>
        <w:rPr>
          <w:rFonts w:hint="eastAsia" w:ascii="宋体" w:hAnsi="宋体" w:eastAsia="宋体" w:cs="宋体"/>
          <w:i w:val="0"/>
          <w:caps w:val="0"/>
          <w:color w:val="FF0000"/>
          <w:spacing w:val="0"/>
          <w:sz w:val="24"/>
          <w:szCs w:val="24"/>
          <w:shd w:val="clear" w:color="auto" w:fill="FFFFFF"/>
        </w:rPr>
        <w:t>午</w:t>
      </w:r>
      <w:r>
        <w:rPr>
          <w:rFonts w:hint="eastAsia" w:ascii="宋体" w:hAnsi="宋体" w:cs="宋体"/>
          <w:i w:val="0"/>
          <w:caps w:val="0"/>
          <w:color w:val="FF0000"/>
          <w:spacing w:val="0"/>
          <w:sz w:val="24"/>
          <w:szCs w:val="24"/>
          <w:shd w:val="clear" w:color="auto" w:fill="FFFFFF"/>
          <w:lang w:val="en-US" w:eastAsia="zh-CN"/>
        </w:rPr>
        <w:t>10</w:t>
      </w:r>
      <w:r>
        <w:rPr>
          <w:rFonts w:hint="eastAsia" w:ascii="宋体" w:hAnsi="宋体" w:eastAsia="宋体" w:cs="宋体"/>
          <w:i w:val="0"/>
          <w:caps w:val="0"/>
          <w:color w:val="FF0000"/>
          <w:spacing w:val="0"/>
          <w:sz w:val="24"/>
          <w:szCs w:val="24"/>
          <w:shd w:val="clear" w:color="auto" w:fill="FFFFFF"/>
        </w:rPr>
        <w:t>:00</w:t>
      </w:r>
      <w:r>
        <w:rPr>
          <w:rFonts w:hint="eastAsia" w:ascii="宋体" w:hAnsi="宋体" w:eastAsia="宋体" w:cs="宋体"/>
          <w:i w:val="0"/>
          <w:caps w:val="0"/>
          <w:color w:val="333333"/>
          <w:spacing w:val="0"/>
          <w:sz w:val="24"/>
          <w:szCs w:val="24"/>
          <w:shd w:val="clear" w:color="auto" w:fill="FFFFFF"/>
        </w:rPr>
        <w:t>，（请将资料按照要求密封后于</w:t>
      </w:r>
      <w:r>
        <w:rPr>
          <w:rFonts w:hint="eastAsia" w:ascii="宋体" w:hAnsi="宋体" w:eastAsia="宋体" w:cs="宋体"/>
          <w:i w:val="0"/>
          <w:caps w:val="0"/>
          <w:color w:val="FF0000"/>
          <w:spacing w:val="0"/>
          <w:sz w:val="24"/>
          <w:szCs w:val="24"/>
          <w:shd w:val="clear" w:color="auto" w:fill="FFFFFF"/>
        </w:rPr>
        <w:t>202</w:t>
      </w:r>
      <w:r>
        <w:rPr>
          <w:rFonts w:hint="eastAsia" w:ascii="宋体" w:hAnsi="宋体" w:cs="宋体"/>
          <w:i w:val="0"/>
          <w:caps w:val="0"/>
          <w:color w:val="FF0000"/>
          <w:spacing w:val="0"/>
          <w:sz w:val="24"/>
          <w:szCs w:val="24"/>
          <w:shd w:val="clear" w:color="auto" w:fill="FFFFFF"/>
          <w:lang w:val="en-US" w:eastAsia="zh-CN"/>
        </w:rPr>
        <w:t>1</w:t>
      </w:r>
      <w:r>
        <w:rPr>
          <w:rFonts w:hint="eastAsia" w:ascii="宋体" w:hAnsi="宋体" w:eastAsia="宋体" w:cs="宋体"/>
          <w:i w:val="0"/>
          <w:caps w:val="0"/>
          <w:color w:val="FF0000"/>
          <w:spacing w:val="0"/>
          <w:sz w:val="24"/>
          <w:szCs w:val="24"/>
          <w:shd w:val="clear" w:color="auto" w:fill="FFFFFF"/>
        </w:rPr>
        <w:t>年</w:t>
      </w:r>
      <w:r>
        <w:rPr>
          <w:rFonts w:hint="eastAsia" w:ascii="宋体" w:hAnsi="宋体" w:cs="宋体"/>
          <w:i w:val="0"/>
          <w:caps w:val="0"/>
          <w:color w:val="FF0000"/>
          <w:spacing w:val="0"/>
          <w:sz w:val="24"/>
          <w:szCs w:val="24"/>
          <w:shd w:val="clear" w:color="auto" w:fill="FFFFFF"/>
          <w:lang w:val="en-US" w:eastAsia="zh-CN"/>
        </w:rPr>
        <w:t>2</w:t>
      </w:r>
      <w:r>
        <w:rPr>
          <w:rFonts w:hint="eastAsia" w:ascii="宋体" w:hAnsi="宋体" w:eastAsia="宋体" w:cs="宋体"/>
          <w:i w:val="0"/>
          <w:caps w:val="0"/>
          <w:color w:val="FF0000"/>
          <w:spacing w:val="0"/>
          <w:sz w:val="24"/>
          <w:szCs w:val="24"/>
          <w:shd w:val="clear" w:color="auto" w:fill="FFFFFF"/>
        </w:rPr>
        <w:t>月</w:t>
      </w:r>
      <w:r>
        <w:rPr>
          <w:rFonts w:hint="eastAsia" w:ascii="宋体" w:hAnsi="宋体" w:cs="宋体"/>
          <w:i w:val="0"/>
          <w:caps w:val="0"/>
          <w:color w:val="FF0000"/>
          <w:spacing w:val="0"/>
          <w:sz w:val="24"/>
          <w:szCs w:val="24"/>
          <w:shd w:val="clear" w:color="auto" w:fill="FFFFFF"/>
          <w:lang w:val="en-US" w:eastAsia="zh-CN"/>
        </w:rPr>
        <w:t>22</w:t>
      </w:r>
      <w:r>
        <w:rPr>
          <w:rFonts w:hint="eastAsia" w:ascii="宋体" w:hAnsi="宋体" w:eastAsia="宋体" w:cs="宋体"/>
          <w:i w:val="0"/>
          <w:caps w:val="0"/>
          <w:color w:val="FF0000"/>
          <w:spacing w:val="0"/>
          <w:sz w:val="24"/>
          <w:szCs w:val="24"/>
          <w:shd w:val="clear" w:color="auto" w:fill="FFFFFF"/>
        </w:rPr>
        <w:t>日</w:t>
      </w:r>
      <w:r>
        <w:rPr>
          <w:rFonts w:hint="eastAsia" w:ascii="宋体" w:hAnsi="宋体" w:cs="宋体"/>
          <w:i w:val="0"/>
          <w:caps w:val="0"/>
          <w:color w:val="333333"/>
          <w:spacing w:val="0"/>
          <w:sz w:val="24"/>
          <w:szCs w:val="24"/>
          <w:shd w:val="clear" w:color="auto" w:fill="FFFFFF"/>
          <w:lang w:eastAsia="zh-CN"/>
        </w:rPr>
        <w:t>上</w:t>
      </w:r>
      <w:r>
        <w:rPr>
          <w:rFonts w:hint="eastAsia" w:ascii="宋体" w:hAnsi="宋体" w:eastAsia="宋体" w:cs="宋体"/>
          <w:i w:val="0"/>
          <w:caps w:val="0"/>
          <w:color w:val="333333"/>
          <w:spacing w:val="0"/>
          <w:sz w:val="24"/>
          <w:szCs w:val="24"/>
          <w:shd w:val="clear" w:color="auto" w:fill="FFFFFF"/>
        </w:rPr>
        <w:t>午</w:t>
      </w:r>
      <w:r>
        <w:rPr>
          <w:rFonts w:hint="eastAsia" w:ascii="宋体" w:hAnsi="宋体" w:cs="宋体"/>
          <w:i w:val="0"/>
          <w:caps w:val="0"/>
          <w:color w:val="333333"/>
          <w:spacing w:val="0"/>
          <w:sz w:val="24"/>
          <w:szCs w:val="24"/>
          <w:shd w:val="clear" w:color="auto" w:fill="FFFFFF"/>
          <w:lang w:val="en-US" w:eastAsia="zh-CN"/>
        </w:rPr>
        <w:t>10</w:t>
      </w:r>
      <w:r>
        <w:rPr>
          <w:rFonts w:hint="eastAsia" w:ascii="宋体" w:hAnsi="宋体" w:eastAsia="宋体" w:cs="宋体"/>
          <w:i w:val="0"/>
          <w:caps w:val="0"/>
          <w:color w:val="333333"/>
          <w:spacing w:val="0"/>
          <w:sz w:val="24"/>
          <w:szCs w:val="24"/>
          <w:shd w:val="clear" w:color="auto" w:fill="FFFFFF"/>
        </w:rPr>
        <w:t>:00前提交上海市泸定路355号住院部503会议室，并参与遴选现场开标会议）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default" w:ascii="Calibri" w:hAnsi="Calibri" w:cs="Calibri"/>
          <w:i w:val="0"/>
          <w:caps w:val="0"/>
          <w:color w:val="FF0000"/>
          <w:spacing w:val="0"/>
          <w:sz w:val="21"/>
          <w:szCs w:val="21"/>
        </w:rPr>
      </w:pPr>
      <w:r>
        <w:rPr>
          <w:rFonts w:hint="eastAsia" w:ascii="宋体" w:hAnsi="宋体" w:eastAsia="宋体" w:cs="宋体"/>
          <w:i w:val="0"/>
          <w:caps w:val="0"/>
          <w:color w:val="000000"/>
          <w:spacing w:val="0"/>
          <w:sz w:val="24"/>
          <w:szCs w:val="24"/>
          <w:shd w:val="clear" w:color="auto" w:fill="FFFFFF"/>
        </w:rPr>
        <w:t>开标日期：</w:t>
      </w:r>
      <w:r>
        <w:rPr>
          <w:rFonts w:hint="eastAsia" w:ascii="宋体" w:hAnsi="宋体" w:eastAsia="宋体" w:cs="宋体"/>
          <w:i w:val="0"/>
          <w:caps w:val="0"/>
          <w:color w:val="FF0000"/>
          <w:spacing w:val="0"/>
          <w:sz w:val="24"/>
          <w:szCs w:val="24"/>
          <w:shd w:val="clear" w:color="auto" w:fill="FFFFFF"/>
        </w:rPr>
        <w:t>202</w:t>
      </w:r>
      <w:r>
        <w:rPr>
          <w:rFonts w:hint="eastAsia" w:ascii="宋体" w:hAnsi="宋体" w:cs="宋体"/>
          <w:i w:val="0"/>
          <w:caps w:val="0"/>
          <w:color w:val="FF0000"/>
          <w:spacing w:val="0"/>
          <w:sz w:val="24"/>
          <w:szCs w:val="24"/>
          <w:shd w:val="clear" w:color="auto" w:fill="FFFFFF"/>
          <w:lang w:val="en-US" w:eastAsia="zh-CN"/>
        </w:rPr>
        <w:t>1</w:t>
      </w:r>
      <w:r>
        <w:rPr>
          <w:rFonts w:hint="eastAsia" w:ascii="宋体" w:hAnsi="宋体" w:eastAsia="宋体" w:cs="宋体"/>
          <w:i w:val="0"/>
          <w:caps w:val="0"/>
          <w:color w:val="FF0000"/>
          <w:spacing w:val="0"/>
          <w:sz w:val="24"/>
          <w:szCs w:val="24"/>
          <w:shd w:val="clear" w:color="auto" w:fill="FFFFFF"/>
        </w:rPr>
        <w:t>年</w:t>
      </w:r>
      <w:r>
        <w:rPr>
          <w:rFonts w:hint="eastAsia" w:ascii="宋体" w:hAnsi="宋体" w:cs="宋体"/>
          <w:i w:val="0"/>
          <w:caps w:val="0"/>
          <w:color w:val="FF0000"/>
          <w:spacing w:val="0"/>
          <w:sz w:val="24"/>
          <w:szCs w:val="24"/>
          <w:shd w:val="clear" w:color="auto" w:fill="FFFFFF"/>
          <w:lang w:val="en-US" w:eastAsia="zh-CN"/>
        </w:rPr>
        <w:t>2</w:t>
      </w:r>
      <w:r>
        <w:rPr>
          <w:rFonts w:hint="eastAsia" w:ascii="宋体" w:hAnsi="宋体" w:eastAsia="宋体" w:cs="宋体"/>
          <w:i w:val="0"/>
          <w:caps w:val="0"/>
          <w:color w:val="FF0000"/>
          <w:spacing w:val="0"/>
          <w:sz w:val="24"/>
          <w:szCs w:val="24"/>
          <w:shd w:val="clear" w:color="auto" w:fill="FFFFFF"/>
        </w:rPr>
        <w:t>月</w:t>
      </w:r>
      <w:r>
        <w:rPr>
          <w:rFonts w:hint="eastAsia" w:ascii="宋体" w:hAnsi="宋体" w:cs="宋体"/>
          <w:i w:val="0"/>
          <w:caps w:val="0"/>
          <w:color w:val="FF0000"/>
          <w:spacing w:val="0"/>
          <w:sz w:val="24"/>
          <w:szCs w:val="24"/>
          <w:shd w:val="clear" w:color="auto" w:fill="FFFFFF"/>
          <w:lang w:val="en-US" w:eastAsia="zh-CN"/>
        </w:rPr>
        <w:t>22</w:t>
      </w:r>
      <w:r>
        <w:rPr>
          <w:rFonts w:hint="eastAsia" w:ascii="宋体" w:hAnsi="宋体" w:eastAsia="宋体" w:cs="宋体"/>
          <w:i w:val="0"/>
          <w:caps w:val="0"/>
          <w:color w:val="FF0000"/>
          <w:spacing w:val="0"/>
          <w:sz w:val="24"/>
          <w:szCs w:val="24"/>
          <w:shd w:val="clear" w:color="auto" w:fill="FFFFFF"/>
        </w:rPr>
        <w:t>日，北京时间：1</w:t>
      </w:r>
      <w:r>
        <w:rPr>
          <w:rFonts w:hint="eastAsia" w:ascii="宋体" w:hAnsi="宋体" w:cs="宋体"/>
          <w:i w:val="0"/>
          <w:caps w:val="0"/>
          <w:color w:val="FF0000"/>
          <w:spacing w:val="0"/>
          <w:sz w:val="24"/>
          <w:szCs w:val="24"/>
          <w:shd w:val="clear" w:color="auto" w:fill="FFFFFF"/>
          <w:lang w:val="en-US" w:eastAsia="zh-CN"/>
        </w:rPr>
        <w:t>0</w:t>
      </w:r>
      <w:r>
        <w:rPr>
          <w:rFonts w:hint="eastAsia" w:ascii="宋体" w:hAnsi="宋体" w:eastAsia="宋体" w:cs="宋体"/>
          <w:i w:val="0"/>
          <w:caps w:val="0"/>
          <w:color w:val="FF0000"/>
          <w:spacing w:val="0"/>
          <w:sz w:val="24"/>
          <w:szCs w:val="24"/>
          <w:shd w:val="clear" w:color="auto" w:fill="FFFFFF"/>
        </w:rPr>
        <w:t>:00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default" w:ascii="Calibri" w:hAnsi="Calibri" w:cs="Calibri"/>
          <w:i w:val="0"/>
          <w:caps w:val="0"/>
          <w:color w:val="333333"/>
          <w:spacing w:val="0"/>
          <w:sz w:val="21"/>
          <w:szCs w:val="21"/>
        </w:rPr>
      </w:pPr>
      <w:r>
        <w:rPr>
          <w:rFonts w:hint="eastAsia" w:ascii="宋体" w:hAnsi="宋体" w:eastAsia="宋体" w:cs="宋体"/>
          <w:i w:val="0"/>
          <w:caps w:val="0"/>
          <w:color w:val="000000"/>
          <w:spacing w:val="0"/>
          <w:sz w:val="24"/>
          <w:szCs w:val="24"/>
          <w:shd w:val="clear" w:color="auto" w:fill="FFFFFF"/>
        </w:rPr>
        <w:t>开标地点：上海市泸定路355号住院部503会议室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4"/>
          <w:szCs w:val="24"/>
          <w:shd w:val="clear" w:color="auto"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default" w:ascii="Calibri" w:hAnsi="Calibri" w:cs="Calibri"/>
          <w:i w:val="0"/>
          <w:caps w:val="0"/>
          <w:color w:val="333333"/>
          <w:spacing w:val="0"/>
          <w:sz w:val="21"/>
          <w:szCs w:val="21"/>
        </w:rPr>
      </w:pPr>
      <w:r>
        <w:rPr>
          <w:rFonts w:hint="eastAsia" w:ascii="宋体" w:hAnsi="宋体" w:eastAsia="宋体" w:cs="宋体"/>
          <w:b/>
          <w:i w:val="0"/>
          <w:caps w:val="0"/>
          <w:color w:val="000000"/>
          <w:spacing w:val="0"/>
          <w:sz w:val="24"/>
          <w:szCs w:val="24"/>
          <w:shd w:val="clear" w:color="auto" w:fill="FFFFFF"/>
        </w:rPr>
        <w:t>联系地址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default" w:ascii="Calibri" w:hAnsi="Calibri" w:cs="Calibri"/>
          <w:i w:val="0"/>
          <w:caps w:val="0"/>
          <w:color w:val="333333"/>
          <w:spacing w:val="0"/>
          <w:sz w:val="21"/>
          <w:szCs w:val="21"/>
        </w:rPr>
      </w:pPr>
      <w:r>
        <w:rPr>
          <w:rFonts w:hint="eastAsia" w:ascii="宋体" w:hAnsi="宋体" w:eastAsia="宋体" w:cs="宋体"/>
          <w:i w:val="0"/>
          <w:caps w:val="0"/>
          <w:color w:val="000000"/>
          <w:spacing w:val="0"/>
          <w:sz w:val="24"/>
          <w:szCs w:val="24"/>
          <w:shd w:val="clear" w:color="auto" w:fill="FFFFFF"/>
        </w:rPr>
        <w:t>上海市泸定路355号上海市儿童医院 门诊一楼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Calibri" w:hAnsi="Calibri" w:eastAsia="宋体" w:cs="Calibri"/>
          <w:i w:val="0"/>
          <w:caps w:val="0"/>
          <w:color w:val="333333"/>
          <w:spacing w:val="0"/>
          <w:sz w:val="21"/>
          <w:szCs w:val="21"/>
          <w:lang w:eastAsia="zh-CN"/>
        </w:rPr>
      </w:pPr>
      <w:r>
        <w:rPr>
          <w:rFonts w:hint="eastAsia" w:ascii="宋体" w:hAnsi="宋体" w:eastAsia="宋体" w:cs="宋体"/>
          <w:i w:val="0"/>
          <w:caps w:val="0"/>
          <w:color w:val="000000"/>
          <w:spacing w:val="0"/>
          <w:sz w:val="24"/>
          <w:szCs w:val="24"/>
          <w:shd w:val="clear" w:color="auto" w:fill="FFFFFF"/>
        </w:rPr>
        <w:t>联系人：</w:t>
      </w:r>
      <w:r>
        <w:rPr>
          <w:rFonts w:hint="eastAsia" w:ascii="宋体" w:hAnsi="宋体" w:cs="宋体"/>
          <w:i w:val="0"/>
          <w:caps w:val="0"/>
          <w:color w:val="000000"/>
          <w:spacing w:val="0"/>
          <w:sz w:val="24"/>
          <w:szCs w:val="24"/>
          <w:shd w:val="clear" w:color="auto" w:fill="FFFFFF"/>
          <w:lang w:eastAsia="zh-CN"/>
        </w:rPr>
        <w:t>文志林、郑霖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default" w:ascii="Calibri" w:hAnsi="Calibri" w:cs="Calibri"/>
          <w:i w:val="0"/>
          <w:caps w:val="0"/>
          <w:color w:val="333333"/>
          <w:spacing w:val="0"/>
          <w:sz w:val="21"/>
          <w:szCs w:val="21"/>
        </w:rPr>
      </w:pPr>
      <w:r>
        <w:rPr>
          <w:rFonts w:hint="eastAsia" w:ascii="宋体" w:hAnsi="宋体" w:eastAsia="宋体" w:cs="宋体"/>
          <w:i w:val="0"/>
          <w:caps w:val="0"/>
          <w:color w:val="000000"/>
          <w:spacing w:val="0"/>
          <w:sz w:val="24"/>
          <w:szCs w:val="24"/>
          <w:shd w:val="clear" w:color="auto" w:fill="FFFFFF"/>
        </w:rPr>
        <w:t>联系电话：021-52974032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default" w:ascii="Calibri" w:hAnsi="Calibri" w:cs="Calibri"/>
          <w:i w:val="0"/>
          <w:caps w:val="0"/>
          <w:color w:val="333333"/>
          <w:spacing w:val="0"/>
          <w:sz w:val="21"/>
          <w:szCs w:val="21"/>
        </w:rPr>
      </w:pPr>
      <w:r>
        <w:rPr>
          <w:rFonts w:hint="eastAsia" w:ascii="宋体" w:hAnsi="宋体" w:eastAsia="宋体" w:cs="宋体"/>
          <w:i w:val="0"/>
          <w:caps w:val="0"/>
          <w:color w:val="000000"/>
          <w:spacing w:val="0"/>
          <w:sz w:val="24"/>
          <w:szCs w:val="24"/>
          <w:shd w:val="clear" w:color="auto" w:fill="FFFFFF"/>
        </w:rPr>
        <w:t>上海市儿童医院采购中心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default" w:ascii="Calibri" w:hAnsi="Calibri" w:cs="Calibri"/>
          <w:i w:val="0"/>
          <w:caps w:val="0"/>
          <w:color w:val="333333"/>
          <w:spacing w:val="0"/>
          <w:sz w:val="21"/>
          <w:szCs w:val="21"/>
        </w:rPr>
      </w:pPr>
      <w:r>
        <w:rPr>
          <w:rFonts w:hint="eastAsia" w:ascii="宋体" w:hAnsi="宋体" w:eastAsia="宋体" w:cs="宋体"/>
          <w:i w:val="0"/>
          <w:caps w:val="0"/>
          <w:color w:val="000000"/>
          <w:spacing w:val="0"/>
          <w:sz w:val="24"/>
          <w:szCs w:val="24"/>
          <w:shd w:val="clear" w:color="auto" w:fill="FFFFFF"/>
        </w:rPr>
        <w:t>202</w:t>
      </w:r>
      <w:r>
        <w:rPr>
          <w:rFonts w:hint="eastAsia" w:ascii="宋体" w:hAnsi="宋体" w:cs="宋体"/>
          <w:i w:val="0"/>
          <w:caps w:val="0"/>
          <w:color w:val="000000"/>
          <w:spacing w:val="0"/>
          <w:sz w:val="24"/>
          <w:szCs w:val="24"/>
          <w:shd w:val="clear" w:color="auto" w:fill="FFFFFF"/>
          <w:lang w:val="en-US" w:eastAsia="zh-CN"/>
        </w:rPr>
        <w:t>1</w:t>
      </w:r>
      <w:r>
        <w:rPr>
          <w:rFonts w:hint="eastAsia" w:ascii="宋体" w:hAnsi="宋体" w:eastAsia="宋体" w:cs="宋体"/>
          <w:i w:val="0"/>
          <w:caps w:val="0"/>
          <w:color w:val="000000"/>
          <w:spacing w:val="0"/>
          <w:sz w:val="24"/>
          <w:szCs w:val="24"/>
          <w:shd w:val="clear" w:color="auto" w:fill="FFFFFF"/>
        </w:rPr>
        <w:t>年</w:t>
      </w:r>
      <w:r>
        <w:rPr>
          <w:rFonts w:hint="eastAsia" w:ascii="宋体" w:hAnsi="宋体" w:cs="宋体"/>
          <w:i w:val="0"/>
          <w:caps w:val="0"/>
          <w:color w:val="000000"/>
          <w:spacing w:val="0"/>
          <w:sz w:val="24"/>
          <w:szCs w:val="24"/>
          <w:shd w:val="clear" w:color="auto" w:fill="FFFFFF"/>
          <w:lang w:val="en-US" w:eastAsia="zh-CN"/>
        </w:rPr>
        <w:t>2</w:t>
      </w:r>
      <w:r>
        <w:rPr>
          <w:rFonts w:hint="eastAsia" w:ascii="宋体" w:hAnsi="宋体" w:eastAsia="宋体" w:cs="宋体"/>
          <w:i w:val="0"/>
          <w:caps w:val="0"/>
          <w:color w:val="000000"/>
          <w:spacing w:val="0"/>
          <w:sz w:val="24"/>
          <w:szCs w:val="24"/>
          <w:shd w:val="clear" w:color="auto" w:fill="FFFFFF"/>
        </w:rPr>
        <w:t>月</w:t>
      </w:r>
      <w:r>
        <w:rPr>
          <w:rFonts w:hint="eastAsia" w:cs="宋体"/>
          <w:i w:val="0"/>
          <w:caps w:val="0"/>
          <w:color w:val="000000"/>
          <w:spacing w:val="0"/>
          <w:sz w:val="24"/>
          <w:szCs w:val="24"/>
          <w:shd w:val="clear" w:color="auto" w:fill="FFFFFF"/>
          <w:lang w:val="en-US" w:eastAsia="zh-CN"/>
        </w:rPr>
        <w:t>5</w:t>
      </w:r>
      <w:r>
        <w:rPr>
          <w:rFonts w:hint="eastAsia" w:ascii="宋体" w:hAnsi="宋体" w:eastAsia="宋体" w:cs="宋体"/>
          <w:i w:val="0"/>
          <w:caps w:val="0"/>
          <w:color w:val="000000"/>
          <w:spacing w:val="0"/>
          <w:sz w:val="24"/>
          <w:szCs w:val="24"/>
          <w:shd w:val="clear" w:color="auto" w:fill="FFFFFF"/>
        </w:rPr>
        <w:t>日</w:t>
      </w:r>
    </w:p>
    <w:p>
      <w:pPr>
        <w:widowControl/>
        <w:wordWrap w:val="0"/>
        <w:spacing w:line="193" w:lineRule="atLeast"/>
        <w:rPr>
          <w:rFonts w:ascii="宋体" w:hAnsi="宋体" w:eastAsia="宋体" w:cs="宋体"/>
          <w:color w:val="000000"/>
          <w:kern w:val="0"/>
          <w:sz w:val="24"/>
          <w:szCs w:val="24"/>
        </w:rPr>
      </w:pPr>
    </w:p>
    <w:p>
      <w:pPr>
        <w:widowControl/>
        <w:wordWrap w:val="0"/>
        <w:spacing w:line="193"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6ECE"/>
    <w:rsid w:val="00003289"/>
    <w:rsid w:val="000506EB"/>
    <w:rsid w:val="000630AD"/>
    <w:rsid w:val="00074C12"/>
    <w:rsid w:val="00123387"/>
    <w:rsid w:val="00140F7C"/>
    <w:rsid w:val="00141445"/>
    <w:rsid w:val="00143232"/>
    <w:rsid w:val="0017259A"/>
    <w:rsid w:val="001D05FB"/>
    <w:rsid w:val="001F144A"/>
    <w:rsid w:val="0024341F"/>
    <w:rsid w:val="002B006F"/>
    <w:rsid w:val="00330E6A"/>
    <w:rsid w:val="00353CF8"/>
    <w:rsid w:val="00385567"/>
    <w:rsid w:val="003876C9"/>
    <w:rsid w:val="0039694A"/>
    <w:rsid w:val="00435999"/>
    <w:rsid w:val="004964AB"/>
    <w:rsid w:val="00536A1A"/>
    <w:rsid w:val="005F3D11"/>
    <w:rsid w:val="00614545"/>
    <w:rsid w:val="006517D2"/>
    <w:rsid w:val="006D46AF"/>
    <w:rsid w:val="006F7A35"/>
    <w:rsid w:val="00751C43"/>
    <w:rsid w:val="00754398"/>
    <w:rsid w:val="00756F8F"/>
    <w:rsid w:val="007631FF"/>
    <w:rsid w:val="00775376"/>
    <w:rsid w:val="00801135"/>
    <w:rsid w:val="00870F03"/>
    <w:rsid w:val="008F6C9C"/>
    <w:rsid w:val="00937943"/>
    <w:rsid w:val="00974966"/>
    <w:rsid w:val="00984C86"/>
    <w:rsid w:val="009A338F"/>
    <w:rsid w:val="009A375C"/>
    <w:rsid w:val="009F29A6"/>
    <w:rsid w:val="00A52149"/>
    <w:rsid w:val="00A523F2"/>
    <w:rsid w:val="00A72DF5"/>
    <w:rsid w:val="00A931CB"/>
    <w:rsid w:val="00A9464F"/>
    <w:rsid w:val="00AB0A3E"/>
    <w:rsid w:val="00AD2C26"/>
    <w:rsid w:val="00AE3BE5"/>
    <w:rsid w:val="00AF6CD3"/>
    <w:rsid w:val="00B35D74"/>
    <w:rsid w:val="00B37A2B"/>
    <w:rsid w:val="00B41233"/>
    <w:rsid w:val="00B6508C"/>
    <w:rsid w:val="00B66C48"/>
    <w:rsid w:val="00B712D5"/>
    <w:rsid w:val="00B84648"/>
    <w:rsid w:val="00BA7361"/>
    <w:rsid w:val="00BC1503"/>
    <w:rsid w:val="00BC44DA"/>
    <w:rsid w:val="00BE484D"/>
    <w:rsid w:val="00C04D76"/>
    <w:rsid w:val="00C26ECE"/>
    <w:rsid w:val="00C56424"/>
    <w:rsid w:val="00C72534"/>
    <w:rsid w:val="00C96F67"/>
    <w:rsid w:val="00CC1792"/>
    <w:rsid w:val="00CC488F"/>
    <w:rsid w:val="00D04C27"/>
    <w:rsid w:val="00D9553B"/>
    <w:rsid w:val="00DA3212"/>
    <w:rsid w:val="00DB73CB"/>
    <w:rsid w:val="00DC365F"/>
    <w:rsid w:val="00DE3CFC"/>
    <w:rsid w:val="00E3718A"/>
    <w:rsid w:val="00E559B7"/>
    <w:rsid w:val="00EC6624"/>
    <w:rsid w:val="00ED5FB8"/>
    <w:rsid w:val="00EF518C"/>
    <w:rsid w:val="00F10B48"/>
    <w:rsid w:val="00F727BD"/>
    <w:rsid w:val="00F96D39"/>
    <w:rsid w:val="00FA68A2"/>
    <w:rsid w:val="00FC159A"/>
    <w:rsid w:val="00FD4EB1"/>
    <w:rsid w:val="23461CEB"/>
    <w:rsid w:val="30C11242"/>
    <w:rsid w:val="3974502E"/>
    <w:rsid w:val="47CC4900"/>
    <w:rsid w:val="559D1D73"/>
    <w:rsid w:val="58024F03"/>
    <w:rsid w:val="5CA72856"/>
    <w:rsid w:val="5E234249"/>
    <w:rsid w:val="7DBB5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single"/>
    </w:rPr>
  </w:style>
  <w:style w:type="character" w:styleId="10">
    <w:name w:val="Emphasis"/>
    <w:basedOn w:val="7"/>
    <w:qFormat/>
    <w:uiPriority w:val="20"/>
    <w:rPr>
      <w:i/>
      <w:iCs/>
    </w:rPr>
  </w:style>
  <w:style w:type="character" w:styleId="11">
    <w:name w:val="Hyperlink"/>
    <w:basedOn w:val="7"/>
    <w:semiHidden/>
    <w:unhideWhenUsed/>
    <w:qFormat/>
    <w:uiPriority w:val="99"/>
    <w:rPr>
      <w:color w:val="0000FF"/>
      <w:u w:val="single"/>
    </w:rPr>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 w:type="character" w:customStyle="1" w:styleId="14">
    <w:name w:val="标题 1 Char"/>
    <w:basedOn w:val="7"/>
    <w:link w:val="2"/>
    <w:qFormat/>
    <w:uiPriority w:val="9"/>
    <w:rPr>
      <w:rFonts w:ascii="宋体" w:hAnsi="宋体" w:eastAsia="宋体" w:cs="宋体"/>
      <w:b/>
      <w:bCs/>
      <w:kern w:val="36"/>
      <w:sz w:val="48"/>
      <w:szCs w:val="48"/>
    </w:rPr>
  </w:style>
  <w:style w:type="character" w:customStyle="1" w:styleId="15">
    <w:name w:val="meta-date"/>
    <w:basedOn w:val="7"/>
    <w:qFormat/>
    <w:uiPriority w:val="0"/>
  </w:style>
  <w:style w:type="character" w:customStyle="1" w:styleId="16">
    <w:name w:val="meta-anam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1287</Words>
  <Characters>7336</Characters>
  <Lines>61</Lines>
  <Paragraphs>17</Paragraphs>
  <TotalTime>9</TotalTime>
  <ScaleCrop>false</ScaleCrop>
  <LinksUpToDate>false</LinksUpToDate>
  <CharactersWithSpaces>8606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2020-08-31T08:18:00Z</dcterms:created>
  <dc:creator>user</dc:creator>
  <cp:lastModifiedBy>user</cp:lastModifiedBy>
  <dcterms:modified xsi:type="dcterms:W3CDTF">2021-02-05T02:18:06Z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